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2.00000000000003" w:lineRule="auto"/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4446</wp:posOffset>
            </wp:positionH>
            <wp:positionV relativeFrom="paragraph">
              <wp:posOffset>1</wp:posOffset>
            </wp:positionV>
            <wp:extent cx="1616710" cy="377825"/>
            <wp:effectExtent b="0" l="0" r="0" t="0"/>
            <wp:wrapSquare wrapText="bothSides" distB="114300" distT="114300" distL="114300" distR="114300"/>
            <wp:docPr id="68635498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377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Aptos" w:cs="Aptos" w:eastAsia="Aptos" w:hAnsi="Apto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Tisková zpráva</w:t>
      </w:r>
    </w:p>
    <w:p w:rsidR="00000000" w:rsidDel="00000000" w:rsidP="00000000" w:rsidRDefault="00000000" w:rsidRPr="00000000" w14:paraId="00000004">
      <w:pPr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Ani nejlepší zdraví a bezpečnost Česku nepomohly. Kvůli krizi bydlení padá v evropském žebříčku prosperity na 16. místo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759"/>
        </w:tabs>
        <w:jc w:val="both"/>
        <w:rPr>
          <w:rFonts w:ascii="Aptos" w:cs="Aptos" w:eastAsia="Aptos" w:hAnsi="Aptos"/>
          <w:b w:val="1"/>
        </w:rPr>
      </w:pPr>
      <w:bookmarkStart w:colFirst="0" w:colLast="0" w:name="_heading=h.7xr2xtj244qq" w:id="0"/>
      <w:bookmarkEnd w:id="0"/>
      <w:r w:rsidDel="00000000" w:rsidR="00000000" w:rsidRPr="00000000">
        <w:rPr>
          <w:rFonts w:ascii="Aptos" w:cs="Aptos" w:eastAsia="Aptos" w:hAnsi="Aptos"/>
          <w:rtl w:val="0"/>
        </w:rPr>
        <w:t xml:space="preserve">Praha, 19. května 2025 – 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V Indexu prosperity a finančního zdraví si Česko meziročně pohoršilo o jednu příčku a obsadilo 16. místo mezi zeměmi EU. Tento výsledek ještě výrazněji potvrzuje naši pozici na pomyslné hranici mezi východní a západní Evropou. Ačkoliv propad o jedno místo nemusí působit dramaticky, ještě v roce 2022 jsme se drželi na 13. příčce. Nejhůře si Česko v letošním srovnání 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vedlo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v oblasti dostupnosti bydlení, která patří k nejpalčivějším problémům prosperity – od vysokých cen novostaveb přes zdlouhavé stavební řízení až po náklady na chod domácnosti. Naopak výborného hodnocení jsme dosáhli v oblasti zdraví a bezpečnosti, zejména díky dostupnosti zdravotní péče a zvládnuté kyberbezpečnosti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ptos" w:cs="Aptos" w:eastAsia="Aptos" w:hAnsi="Aptos"/>
        </w:rPr>
      </w:pPr>
      <w:bookmarkStart w:colFirst="0" w:colLast="0" w:name="_heading=h.74hh6hjdp8gv" w:id="1"/>
      <w:bookmarkEnd w:id="1"/>
      <w:r w:rsidDel="00000000" w:rsidR="00000000" w:rsidRPr="00000000">
        <w:rPr>
          <w:rFonts w:ascii="Aptos" w:cs="Aptos" w:eastAsia="Aptos" w:hAnsi="Aptos"/>
          <w:rtl w:val="0"/>
        </w:rPr>
        <w:t xml:space="preserve">V nejnovějším srovnání Indexu prosperity Česka jsme se mezi 27 zeměmi EU propadli o jednu příčku na 16. místo. Nejlepší podmínky pro život dlouhodobě nabízí severské státy a na stupni vítězů se letos poprvé umístilo i sousední Rakousko, které meziročně zlepšilo životní úroveň téměř v polovině sledovaných indikátorů.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„Opačný proces nastal v Česku, kde jsme se naopak v šesti z deseti pilířů propadli, což nás ve srovnání prosperity posunulo blíž k východním státům, které zaujímají pozice na druhém konci srovnání,“</w:t>
      </w:r>
      <w:r w:rsidDel="00000000" w:rsidR="00000000" w:rsidRPr="00000000">
        <w:rPr>
          <w:rFonts w:ascii="Aptos" w:cs="Aptos" w:eastAsia="Aptos" w:hAnsi="Aptos"/>
          <w:rtl w:val="0"/>
        </w:rPr>
        <w:t xml:space="preserve"> vysvětluje Tomáš Odstrčil, analytik Evropy v datech. Propad Česka o jednu příčku by sám o sobě nebyl zásadní, ovšem ještě v roce 2021 jsme se umístili na 13. místě. </w:t>
      </w:r>
    </w:p>
    <w:p w:rsidR="00000000" w:rsidDel="00000000" w:rsidP="00000000" w:rsidRDefault="00000000" w:rsidRPr="00000000" w14:paraId="00000007">
      <w:pPr>
        <w:jc w:val="both"/>
        <w:rPr>
          <w:rFonts w:ascii="Aptos" w:cs="Aptos" w:eastAsia="Aptos" w:hAnsi="Aptos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Interaktivní verzi infografiky k umístění států EU naleznete na tomto odkazu.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</w:rPr>
        <w:drawing>
          <wp:inline distB="0" distT="0" distL="0" distR="0">
            <wp:extent cx="6645910" cy="3214370"/>
            <wp:effectExtent b="0" l="0" r="0" t="0"/>
            <wp:docPr descr="Obsah obrázku text, snímek obrazovky, diagram, mapa&#10;&#10;Popis byl vytvořen automaticky" id="686354989" name="image4.png"/>
            <a:graphic>
              <a:graphicData uri="http://schemas.openxmlformats.org/drawingml/2006/picture">
                <pic:pic>
                  <pic:nvPicPr>
                    <pic:cNvPr descr="Obsah obrázku text, snímek obrazovky, diagram, mapa&#10;&#10;Popis byl vytvořen automaticky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143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Nedostupnost bydlení nejvíce zasahuje mladé</w:t>
      </w:r>
    </w:p>
    <w:p w:rsidR="00000000" w:rsidDel="00000000" w:rsidP="00000000" w:rsidRDefault="00000000" w:rsidRPr="00000000" w14:paraId="0000000A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Nejproblematičtější oblastí v Česku je dlouhodobě bydlení. Mezi šest nejhůře hodnocených států Unie nás ženou vysoké ceny nemovitostí, zdlouhavá stavební řízení, vysoké výdaje na chod domácnosti i drahé novostavby. A zatímco v minulých letech bylo nájemní bydlení v porovnání s vlastním relativně výhodné, v roce 2024 se </w:t>
      </w:r>
      <w:hyperlink r:id="rId10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podle serveru Numbeo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i tento ukazatel propadl na unijní průměr.</w:t>
      </w:r>
    </w:p>
    <w:p w:rsidR="00000000" w:rsidDel="00000000" w:rsidP="00000000" w:rsidRDefault="00000000" w:rsidRPr="00000000" w14:paraId="0000000B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Na současnou krizi v oblasti bydlení nejvíce doplácejí mladí lidé.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 „Mladí lidé, resp. všichni ti, kteří nemají vlastní bydlení a jejichž rodina jim v tomto ohledu ani nemůže pomoci. Bez finanční podpory rodiny je získání vlastního bydlení stále více jen nedosažitelným snem. A nájemní bydlení dosud příliš jistot nenabízí,“</w:t>
      </w:r>
      <w:r w:rsidDel="00000000" w:rsidR="00000000" w:rsidRPr="00000000">
        <w:rPr>
          <w:rFonts w:ascii="Aptos" w:cs="Aptos" w:eastAsia="Aptos" w:hAnsi="Aptos"/>
          <w:rtl w:val="0"/>
        </w:rPr>
        <w:t xml:space="preserve"> upozorňuje Martin Lux ze Sociologického ústavu Akademie věd ČR. </w:t>
      </w:r>
    </w:p>
    <w:p w:rsidR="00000000" w:rsidDel="00000000" w:rsidP="00000000" w:rsidRDefault="00000000" w:rsidRPr="00000000" w14:paraId="0000000C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Tereza Hrtúsová, analytička České spořitelny, k tomu dodává: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„Ačkoliv zhruba tři čtvrtiny domácností v Česku žijí ve vlastním bydlení, horší je to s dostupností pro ty, kteří si teprve chtějí pořídit vlastní byt nebo dům.“</w:t>
      </w:r>
      <w:r w:rsidDel="00000000" w:rsidR="00000000" w:rsidRPr="00000000">
        <w:rPr>
          <w:rFonts w:ascii="Aptos" w:cs="Aptos" w:eastAsia="Aptos" w:hAnsi="Aptos"/>
          <w:rtl w:val="0"/>
        </w:rPr>
        <w:t xml:space="preserve"> Podle Hrtúsové jsou nejvíce ohroženi mladí lidé bez rodinné podpory (dědictví, finanční pomoc), a také senioři žijící sami v nájemním bydlení. Problémem je i pomalé tempo výstavby, které neodpovídá vývoji populace.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„Neexistují mechanismy či omezení pro nákupy nemovitostí občany z Česka i ze zahraničí. Investiční byty navíc často zůstávají prázdné. Pouhá změna ve stavebním řízení dostupnost důstojného bydlení pro mladé pracující rodiny nezajistí,“</w:t>
      </w:r>
      <w:r w:rsidDel="00000000" w:rsidR="00000000" w:rsidRPr="00000000">
        <w:rPr>
          <w:rFonts w:ascii="Aptos" w:cs="Aptos" w:eastAsia="Aptos" w:hAnsi="Aptos"/>
          <w:rtl w:val="0"/>
        </w:rPr>
        <w:t xml:space="preserve"> uzavírá.</w:t>
      </w:r>
    </w:p>
    <w:p w:rsidR="00000000" w:rsidDel="00000000" w:rsidP="00000000" w:rsidRDefault="00000000" w:rsidRPr="00000000" w14:paraId="0000000D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 v oblasti bydlení se ale objevují i pozitivní signály. Výrazně vzrostly investice do rezidenční výstavby, což přispívá k nárůstu počtu bytů a domů na tisíc obyvatel. Automaticky to ale neznamená lepší dostupnost. Například v Dánsku, které má zhruba stejný počet bytů na počet obyvatel jako Česko, vychází pořízení vlastního bydlení zhruba na polovinu, 7 ročních platů oproti tuzemským 13.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000000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Interaktivní verzi infografiky k rozpadu indikátorů naleznete na tomto odkazu.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</w:rPr>
        <w:drawing>
          <wp:inline distB="0" distT="0" distL="0" distR="0">
            <wp:extent cx="6645910" cy="3214370"/>
            <wp:effectExtent b="0" l="0" r="0" t="0"/>
            <wp:docPr descr="Obsah obrázku Barevnost, Vykreslený graf, snímek obrazovky&#10;&#10;Popis byl vytvořen automaticky" id="686354988" name="image2.png"/>
            <a:graphic>
              <a:graphicData uri="http://schemas.openxmlformats.org/drawingml/2006/picture">
                <pic:pic>
                  <pic:nvPicPr>
                    <pic:cNvPr descr="Obsah obrázku Barevnost, Vykreslený graf, snímek obrazovky&#10;&#10;Popis byl vytvořen automaticky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143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V oblasti prostředí pro podnikatele a životní prostředí nám připadlo 22. místo</w:t>
      </w:r>
    </w:p>
    <w:p w:rsidR="00000000" w:rsidDel="00000000" w:rsidP="00000000" w:rsidRDefault="00000000" w:rsidRPr="00000000" w14:paraId="00000011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Pilíře, ve kterých se Česku moc nedaří jsou také životní prostředí a podmínky pro podnikatele, v obou oblastech nám totiž připadlo 22. místo. V případě životního prostředí nás trápí vysoké emise, a to zejména z vytápění, využívání půdy, a i celkovém přepočtu emisí skleníkových plynů na obyvatele.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„Hlavním důvodem vysokých emisí na obyvatele je fakt, že máme druhý nejvyšší podíl průmyslu na tvorbě HDP v EU a jedná se do značné míry o energeticky a emisně náročná průmyslová odvětví. Zároveň přetrvává vysoký podíl fosilních paliv na výrobě a spotřebě energie a Česko je nadále jedním z největších vývozců elektřiny v EU,“</w:t>
      </w:r>
      <w:r w:rsidDel="00000000" w:rsidR="00000000" w:rsidRPr="00000000">
        <w:rPr>
          <w:rFonts w:ascii="Aptos" w:cs="Aptos" w:eastAsia="Aptos" w:hAnsi="Aptos"/>
          <w:rtl w:val="0"/>
        </w:rPr>
        <w:t xml:space="preserve"> vysvětluje Veronika Krejčí, tisková mluvčí Ministerstva životního prostředí. </w:t>
      </w:r>
    </w:p>
    <w:p w:rsidR="00000000" w:rsidDel="00000000" w:rsidP="00000000" w:rsidRDefault="00000000" w:rsidRPr="00000000" w14:paraId="00000012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Stále se nám zároveň nedaří zvedat podíl obnovitelných zdrojů v energetice, a to i přesto, že má Česko například pro větrnou energii </w:t>
      </w:r>
      <w:hyperlink r:id="rId13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poměrně dobré předpoklady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. Právě obnovitelné zdroje </w:t>
      </w:r>
      <w:hyperlink r:id="rId14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budou totiž Česku chybět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v již probíhající transformaci energetiky. </w:t>
      </w:r>
    </w:p>
    <w:p w:rsidR="00000000" w:rsidDel="00000000" w:rsidP="00000000" w:rsidRDefault="00000000" w:rsidRPr="00000000" w14:paraId="00000013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U podnikatelského prostředí trh naráží na nedostatek startupů, zahraniční firmy, které ukrajují vysoký podíl přidané hodnoty, nízkou kapitalizaci pražské burzy, která odrazuje potenciální investory i na obecně nízkou míru vzniku nových podniků. Ránu podnikatelům zasadily i rostoucí ceny elektřiny, které za tři roky vzrostly až na trojnásobek. Cesta k levnější elektřině může mimo jiné spočívat i v již zmíněném zavádění obnovitelných zdrojů.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„Vybudování vlastních zdrojů elektřiny, dnes nejčastěji fotovoltaiky, může firmám snížit faktury za elektřinu, ale také zajistit bezpečnost dodávek. Důležité je ale přemýšlet o takových investicích komplexně a nespoléhat na soláry na střeše ve chvíli, kdy máte velké mezery v energetické účinnosti,“ </w:t>
      </w:r>
      <w:r w:rsidDel="00000000" w:rsidR="00000000" w:rsidRPr="00000000">
        <w:rPr>
          <w:rFonts w:ascii="Aptos" w:cs="Aptos" w:eastAsia="Aptos" w:hAnsi="Aptos"/>
          <w:rtl w:val="0"/>
        </w:rPr>
        <w:t xml:space="preserve">říká Kateřina Novotná, šéfredaktorka portálu Byznys a udržitelnost.</w:t>
      </w:r>
    </w:p>
    <w:p w:rsidR="00000000" w:rsidDel="00000000" w:rsidP="00000000" w:rsidRDefault="00000000" w:rsidRPr="00000000" w14:paraId="00000014">
      <w:pPr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Horší pokrytí vysokorychlostním internetem má jen Řecko</w:t>
      </w:r>
    </w:p>
    <w:p w:rsidR="00000000" w:rsidDel="00000000" w:rsidP="00000000" w:rsidRDefault="00000000" w:rsidRPr="00000000" w14:paraId="00000015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Problémy vykazuje i</w:t>
      </w:r>
      <w:r w:rsidDel="00000000" w:rsidR="00000000" w:rsidRPr="00000000">
        <w:rPr>
          <w:rFonts w:ascii="Aptos" w:cs="Aptos" w:eastAsia="Aptos" w:hAnsi="Aptos"/>
          <w:rtl w:val="0"/>
        </w:rPr>
        <w:t xml:space="preserve"> digitální infrastruktura, zejména pokrytí vysokorychlostním internetem. Právě kvalitní síťové připojení je přitom nezbytným základem pro rozvoj digitalizace jak ve veřejných službách, tak v soukromém sektoru. V tomto ohledu se Česko propadlo na předposlední místo mezi zeměmi EU. Vysokorychlostní internet je dostupný pouze na 53,7 % území, což nás řadí jen těsně před Řecko. Naopak v oblasti mobilního připojení je situace výrazně lepší. K 5G sítím má v Česku přístup 96 % obyvatel, což zemi řadí mezi evropskou špičku.</w:t>
      </w:r>
    </w:p>
    <w:p w:rsidR="00000000" w:rsidDel="00000000" w:rsidP="00000000" w:rsidRDefault="00000000" w:rsidRPr="00000000" w14:paraId="00000016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Jak uvádí Zdeněk Bumbálek ze společnosti T-Mobile,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právě vysokorychlostní optické sítě hrají v rozvoji digitalizace naprosto klíčovou roli: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 „Jsou nejen základem moderní infrastruktury, ale i předpokladem pro konkurenceschopnost, inovace a zajištění dostupnosti digitálních služeb napříč celým územím České republiky. Umožňují rychlý a spolehlivý přenos dat, který je zásadní pro digitalizaci státní správy, rozvoj eHealth, chytrých měst, vzdělávání i pro podnikání,“ </w:t>
      </w:r>
      <w:r w:rsidDel="00000000" w:rsidR="00000000" w:rsidRPr="00000000">
        <w:rPr>
          <w:rFonts w:ascii="Aptos" w:cs="Aptos" w:eastAsia="Aptos" w:hAnsi="Aptos"/>
          <w:rtl w:val="0"/>
        </w:rPr>
        <w:t xml:space="preserve">vysvětluje ředitel programu výstavby FTTH sítí.</w:t>
      </w:r>
    </w:p>
    <w:p w:rsidR="00000000" w:rsidDel="00000000" w:rsidP="00000000" w:rsidRDefault="00000000" w:rsidRPr="00000000" w14:paraId="00000017">
      <w:pPr>
        <w:jc w:val="both"/>
        <w:rPr>
          <w:rFonts w:ascii="Aptos" w:cs="Aptos" w:eastAsia="Aptos" w:hAnsi="Aptos"/>
        </w:rPr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Interaktivní verzi infografiky k hodnotám indikátorů naleznete na tomto odkazu.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Největší počet optických přípojek na obyvatelstvo se nachází především v regionech s těžební historií</w:t>
      </w:r>
    </w:p>
    <w:p w:rsidR="00000000" w:rsidDel="00000000" w:rsidP="00000000" w:rsidRDefault="00000000" w:rsidRPr="00000000" w14:paraId="00000019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Překvapivě vysoký podíl optických přípojek na obyvatele nenajdeme v Praze, ale v posttěžebních regionech, jako jsou Český Těšín, Havířov nebo Kadaň. Důvodem je kombinace vyšší hustoty obyvatelstva, vhodné struktury bytového fondu a cílených investic, a to včetně evropských dotací na obnovu infrastruktury. </w:t>
      </w:r>
    </w:p>
    <w:p w:rsidR="00000000" w:rsidDel="00000000" w:rsidP="00000000" w:rsidRDefault="00000000" w:rsidRPr="00000000" w14:paraId="0000001A">
      <w:pPr>
        <w:jc w:val="both"/>
        <w:rPr>
          <w:rFonts w:ascii="Aptos" w:cs="Aptos" w:eastAsia="Aptos" w:hAnsi="Aptos"/>
          <w:i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Vyšší míra pokrytí vysokorychlostním internetem může těmto krajům zásadně pomoci, jak ostatně potvrzuje i Zdeněk Bumbálek.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„Umožňuje nejen kvalitnější život obyvatelům, ale i rozvoj podnikání, přístup k digitálním službám, vzdělávání a práci na dálku. Pokud bude tento trend nadále pokračovat a bude podpořen cílenými investicemi, může se jednat o významný nástroj ke zvýšení prosperity a snižování rozdílů mezi regiony.“</w:t>
      </w:r>
    </w:p>
    <w:p w:rsidR="00000000" w:rsidDel="00000000" w:rsidP="00000000" w:rsidRDefault="00000000" w:rsidRPr="00000000" w14:paraId="0000001B">
      <w:pPr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K nejvýraznějšímu zlepšení došlo v oblasti finančního zdraví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Jednou z oblastí, kde Česko v Indexu prosperity zaznamenalo největší posun, je finanční zdraví obyvatel. Zatímco v roce 2022 jsme byli na 13. místě, letos jsme se posunuli na 9. příčku.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Zlepšení je výsledkem několika faktorů, v řadě ukazatelů jsme si polepšili, případně si udrželi stabilní hodnoty. Největší rozdíl se projevil u úspor. Zatímco v mnoha zemích inflace výrazně snížila objem naspořených prostředků, české domácnosti si své rezervy dokázaly uchovat. 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„Míra úspor domácností vzrostla oproti dlouhodobému průměru už během pandemie, zejména u domácností s vyššími příjmy. Její udržení i v následujících letech lze do jisté míry vysvětlit vyššími úrokovými sazbami, které se v Česku držely nad průměrem EU,“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říká Tereza Hrtúsová z České spořitelny.</w:t>
      </w:r>
    </w:p>
    <w:p w:rsidR="00000000" w:rsidDel="00000000" w:rsidP="00000000" w:rsidRDefault="00000000" w:rsidRPr="00000000" w14:paraId="0000001E">
      <w:pPr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Ve zdraví a bezpečnosti jsme absolutní špičkou EU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oblasti zdraví a bezpečnosti obsadilo Česko v posledním Indexu prosperity vůbec první místo. Za úspěchem stojí především zvládnutá ochrana proti kyberkriminalitě, velmi nízká kojenecká úmrtnost a</w:t>
      </w:r>
      <w:r w:rsidDel="00000000" w:rsidR="00000000" w:rsidRPr="00000000">
        <w:rPr>
          <w:rFonts w:ascii="Aptos" w:cs="Aptos" w:eastAsia="Aptos" w:hAnsi="Aptos"/>
          <w:rtl w:val="0"/>
        </w:rPr>
        <w:t xml:space="preserve"> 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relativně dostupná lékařská péče.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Prvenství ale neznamená, že je situace kolem bezpečnosti a zdravotnictví vyřešená. Česko má 15. nejvyšší podíl obézní populace v EU a do obrany investuje méně než většina ostatních států. Průměrné výsledky vykazujeme také v délce života prožitého ve zdraví (61,8 let) i podílu výdajů na zdravotnictví (8,5 % HDP).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Přestože se podle odborníků zvyšuje informovanost o významu prevence a zdravého životního stylu, přenést tyto poznatky do praxe zůstává výzvou.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„Délka života ve zdraví je dnes pevnou součástí odborných i veřejných debat – to je pozitivní a první nutný krok. Abychom ale skutečně žili déle a ve zdraví, je třeba posunout systém zdravotní péče na úroveň 21. století,“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říká Petr Smejkal, hlavní epidemiolog IKEM a člen think tanku Ministr zdraví.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„Každá oblast – prevence, digitalizace i udržitelnost financování – je důležitá. Ale nejpodstatnější je, aby se změny skutečně projevily v praxi, především ve prospěch pacientů a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 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zdravotníků,“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uzavírá.</w:t>
      </w:r>
    </w:p>
    <w:p w:rsidR="00000000" w:rsidDel="00000000" w:rsidP="00000000" w:rsidRDefault="00000000" w:rsidRPr="00000000" w14:paraId="00000022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Více o Indexu prosperity na </w:t>
      </w:r>
      <w:hyperlink r:id="rId16">
        <w:r w:rsidDel="00000000" w:rsidR="00000000" w:rsidRPr="00000000">
          <w:rPr>
            <w:rFonts w:ascii="Aptos" w:cs="Aptos" w:eastAsia="Aptos" w:hAnsi="Aptos"/>
            <w:color w:val="1155cc"/>
            <w:u w:val="single"/>
            <w:rtl w:val="0"/>
          </w:rPr>
          <w:t xml:space="preserve">Indexprosperity.cz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Kontakt pro média: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Adéla Veselá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color w:val="0563c1"/>
          <w:u w:val="single"/>
          <w:rtl w:val="0"/>
        </w:rPr>
        <w:t xml:space="preserve">adela.vesela@dfmg.cz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Tel.: +420 722 193 819</w:t>
      </w:r>
    </w:p>
    <w:sectPr>
      <w:footerReference r:id="rId1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-438149</wp:posOffset>
          </wp:positionH>
          <wp:positionV relativeFrom="paragraph">
            <wp:posOffset>514984</wp:posOffset>
          </wp:positionV>
          <wp:extent cx="7509510" cy="132080"/>
          <wp:effectExtent b="0" l="0" r="0" t="0"/>
          <wp:wrapTopAndBottom distB="0" distT="0"/>
          <wp:docPr id="68635498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20094" r="19202" t="0"/>
                  <a:stretch>
                    <a:fillRect/>
                  </a:stretch>
                </pic:blipFill>
                <pic:spPr>
                  <a:xfrm>
                    <a:off x="0" y="0"/>
                    <a:ext cx="7509510" cy="1320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 w:val="1"/>
    <w:rsid w:val="00B55E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55E49"/>
    <w:rPr>
      <w:color w:val="605e5c"/>
      <w:shd w:color="auto" w:fill="e1dfdd" w:val="clear"/>
    </w:rPr>
  </w:style>
  <w:style w:type="paragraph" w:styleId="Revize">
    <w:name w:val="Revision"/>
    <w:hidden w:val="1"/>
    <w:uiPriority w:val="99"/>
    <w:semiHidden w:val="1"/>
    <w:rsid w:val="009F0141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644388"/>
    <w:pPr>
      <w:spacing w:after="0" w:line="240" w:lineRule="auto"/>
    </w:pPr>
    <w:rPr>
      <w:rFonts w:ascii="Arial" w:cs="Arial" w:eastAsia="Arial" w:hAnsi="Arial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644388"/>
    <w:rPr>
      <w:rFonts w:ascii="Arial" w:cs="Arial" w:eastAsia="Arial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644388"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64438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 w:val="1"/>
    <w:rsid w:val="00887D3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87D33"/>
  </w:style>
  <w:style w:type="paragraph" w:styleId="Zpat">
    <w:name w:val="footer"/>
    <w:basedOn w:val="Normln"/>
    <w:link w:val="ZpatChar"/>
    <w:uiPriority w:val="99"/>
    <w:unhideWhenUsed w:val="1"/>
    <w:rsid w:val="00887D3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87D33"/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1E1D4E"/>
    <w:pPr>
      <w:spacing w:after="160"/>
    </w:pPr>
    <w:rPr>
      <w:rFonts w:ascii="Calibri" w:cs="Calibri" w:eastAsia="Calibri" w:hAnsi="Calibri"/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1E1D4E"/>
    <w:rPr>
      <w:rFonts w:ascii="Arial" w:cs="Arial" w:eastAsia="Arial" w:hAnsi="Arial"/>
      <w:b w:val="1"/>
      <w:bCs w:val="1"/>
      <w:sz w:val="20"/>
      <w:szCs w:val="20"/>
    </w:rPr>
  </w:style>
  <w:style w:type="paragraph" w:styleId="Normlnweb">
    <w:name w:val="Normal (Web)"/>
    <w:basedOn w:val="Normln"/>
    <w:uiPriority w:val="99"/>
    <w:unhideWhenUsed w:val="1"/>
    <w:rsid w:val="00A44B3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cs-CZ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ublic.tableau.com/views/2024_Indexprosperityeska/Dashboardpoad?:language=en-US&amp;:sid=&amp;:redirect=auth&amp;:display_count=n&amp;:origin=viz_share_link" TargetMode="External"/><Relationship Id="rId10" Type="http://schemas.openxmlformats.org/officeDocument/2006/relationships/hyperlink" Target="https://www.numbeo.com/property-investment/rankings_by_country.jsp?title=2024&amp;region=150" TargetMode="External"/><Relationship Id="rId13" Type="http://schemas.openxmlformats.org/officeDocument/2006/relationships/hyperlink" Target="https://www.evropavdatech.cz/clanek/87-vetrne-elektrarny-v-cr/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https://public.tableau.com/app/profile/dark.side/viz/2024_Indexprosperityeska/Dashboardhodnoty" TargetMode="External"/><Relationship Id="rId14" Type="http://schemas.openxmlformats.org/officeDocument/2006/relationships/hyperlink" Target="https://www.evropavdatech.cz/clanek/113-energetika-v-cesku/" TargetMode="External"/><Relationship Id="rId17" Type="http://schemas.openxmlformats.org/officeDocument/2006/relationships/footer" Target="footer1.xml"/><Relationship Id="rId16" Type="http://schemas.openxmlformats.org/officeDocument/2006/relationships/hyperlink" Target="http://www.indexprosperity.c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public.tableau.com/views/2024_Indexprosperityeska/Dashboardmapa?:language=en-US&amp;:sid=&amp;:redirect=auth&amp;:display_count=n&amp;:origin=viz_share_link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7pLT1TRV3quYdakpPDAVyzTWAg==">CgMxLjAyDmguN3hyMnh0ajI0NHFxMg5oLjc0aGg2aGpkcDhndjgAaikKFHN1Z2dlc3QubmQxeHpzZG51Mmo5EhFUb23DocWhIE9kc3RyxI1pbGopChRzdWdnZXN0Lm0xZnl3MjNtYjdnaRIRVG9tw6HFoSBPZHN0csSNaWxqKQoUc3VnZ2VzdC50ZGcyZDIxbjh1eGUSEVRvbcOhxaEgT2RzdHLEjWlsaikKFHN1Z2dlc3QuMnNldGJ2YjZ4bWpjEhFUb23DocWhIE9kc3RyxI1pbHIhMV95YWpQVG5FcHpjeGs3NWFUeUVJNjNMYm9NWlYwcW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2022-10-12T06:51:00Z</dcterms:created>
  <dc:creator>Jana Bakešová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etDate">
    <vt:lpwstr>2022-06-13T07:50:24Z</vt:lpwstr>
  </property>
  <property fmtid="{D5CDD505-2E9C-101B-9397-08002B2CF9AE}" pid="4" name="MSIP_Label_2b3a104e-2916-42dc-a2f6-6210338509ed_Method">
    <vt:lpwstr>Standard</vt:lpwstr>
  </property>
  <property fmtid="{D5CDD505-2E9C-101B-9397-08002B2CF9AE}" pid="5" name="MSIP_Label_2b3a104e-2916-42dc-a2f6-6210338509ed_Name">
    <vt:lpwstr>2b3a104e-2916-42dc-a2f6-6210338509ed</vt:lpwstr>
  </property>
  <property fmtid="{D5CDD505-2E9C-101B-9397-08002B2CF9AE}" pid="6" name="MSIP_Label_2b3a104e-2916-42dc-a2f6-6210338509ed_SiteId">
    <vt:lpwstr>e70aafb3-2e89-46a5-ba50-66803e8a4411</vt:lpwstr>
  </property>
  <property fmtid="{D5CDD505-2E9C-101B-9397-08002B2CF9AE}" pid="7" name="MSIP_Label_2b3a104e-2916-42dc-a2f6-6210338509ed_ActionId">
    <vt:lpwstr>87e722f6-8a85-4d74-9307-d8e67f666506</vt:lpwstr>
  </property>
  <property fmtid="{D5CDD505-2E9C-101B-9397-08002B2CF9AE}" pid="8" name="MSIP_Label_2b3a104e-2916-42dc-a2f6-6210338509ed_ContentBits">
    <vt:lpwstr>1</vt:lpwstr>
  </property>
</Properties>
</file>