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leu1lzfrlrg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4447</wp:posOffset>
            </wp:positionH>
            <wp:positionV relativeFrom="paragraph">
              <wp:posOffset>2</wp:posOffset>
            </wp:positionV>
            <wp:extent cx="1616710" cy="377825"/>
            <wp:effectExtent b="0" l="0" r="0" t="0"/>
            <wp:wrapSquare wrapText="bothSides" distB="114300" distT="114300" distL="114300" distR="114300"/>
            <wp:docPr id="66441149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377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TISKOVÁ ZPRÁVA</w:t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both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Český trh práce je v rámci EU na 15. příčce. Brzdí ho genderové rozdíly i omezené pracovní uplatnění znevýhodněných skupin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Praha, 30. června 2025 –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Kvalita českého trhu práce se zlepšuje. V celkovém hodnocení Indexu prosperity a finančního zdraví obsadilo Česko mírně podprůměrnou 15. příčku mezi unijní sedmadvacítkou. Ještě loni jsme byli 18. Podle analýzy přispívá k lepšímu umístění nejen nízká nezaměstnanost (2,6 %), ale také velké množství volných pracovních míst. Naopak výrazně zaostáváme v otázkách rovného odměňování žen a mužů a genderové rovnosti obecně. V obou ukazatelích se Česko umístilo až na 25. pozici.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Trh práce v Česku se vyznačuje patnáctou nejvyšší kvalitou v Evropské unii. Meziročně se jedná o zlepšení o tři příčky a zároveň došlo k zastavení zhoršujícího trendu, který bylo možné sledovat v dosavadních ročnících Indexu prosperity.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Nejlépe fungujícím trhem práce se již tradičně mohou pyšnit Nizozemsko a Dánsko, které na stupni vítězů doprovází Malta. Horší pracovní podmínky kontinuálně panují v zemích podél východní hranice EU</w:t>
      </w:r>
      <w:r w:rsidDel="00000000" w:rsidR="00000000" w:rsidRPr="00000000">
        <w:rPr>
          <w:rFonts w:ascii="Aptos" w:cs="Aptos" w:eastAsia="Aptos" w:hAnsi="Aptos"/>
          <w:rtl w:val="0"/>
        </w:rPr>
        <w:t xml:space="preserve">,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rtl w:val="0"/>
        </w:rPr>
        <w:t xml:space="preserve"> komentuje analytička Evropy v datech Hana Vincourová.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hyperlink r:id="rId8">
        <w:r w:rsidDel="00000000" w:rsidR="00000000" w:rsidRPr="00000000">
          <w:rPr>
            <w:rFonts w:ascii="Aptos" w:cs="Aptos" w:eastAsia="Aptos" w:hAnsi="Aptos"/>
            <w:color w:val="0563c1"/>
            <w:u w:val="single"/>
            <w:rtl w:val="0"/>
          </w:rPr>
          <w:t xml:space="preserve">Na tomto odkazu naleznete infografiku: Kvalita trhu práce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</w:rPr>
        <w:drawing>
          <wp:inline distB="0" distT="0" distL="0" distR="0">
            <wp:extent cx="6587622" cy="3188696"/>
            <wp:effectExtent b="0" l="0" r="0" t="0"/>
            <wp:docPr descr="Obsah obrázku text, snímek obrazovky, mapa&#10;&#10;Popis byl vytvořen automaticky" id="664411493" name="image2.png"/>
            <a:graphic>
              <a:graphicData uri="http://schemas.openxmlformats.org/drawingml/2006/picture">
                <pic:pic>
                  <pic:nvPicPr>
                    <pic:cNvPr descr="Obsah obrázku text, snímek obrazovky, mapa&#10;&#10;Popis byl vytvořen automaticky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7622" cy="3188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Nízká nezaměstnanost v Česku: neaktivní odbory i nechuť lidí měnit práci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Podobně jako ve všech předchozích ročnících se Česko vyznačuje nejnižší nezaměstnaností napříč sedmadvacítkou. S hodnotou 2,6 %, která je shodná s hodnotou v minulém ročníku, překonáváme unijní průměr, který podle </w:t>
      </w:r>
      <w:hyperlink r:id="rId10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dat Eurostatu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dosahuje 5,9 %.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highlight w:val="white"/>
          <w:rtl w:val="0"/>
        </w:rPr>
        <w:t xml:space="preserve">Za nízkou českou nezaměstnaností nejspíš stojí malá aktivita zdejších odborů, v jejímž důsledku zůstávají české mzdy poměrně nízké. Zároveň je tu také neochota českých zaměstnanců práci měnit, která je viditelná například z toho, že hodnota průměrné doby strávené zaměstnancem u jednoho zaměstnavatele se u nás pohybuje výrazně nad evropským průměrem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,“ popisuje hlavní příčiny nízké nezaměstnanosti makroekonomický analytik České spořitelny Michal Skořepa.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ptos" w:cs="Aptos" w:eastAsia="Aptos" w:hAnsi="Aptos"/>
          <w:highlight w:val="whit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Relativně vysoký podíl nezaměstnaných překvapivě postihuje švédskou a finskou společnost, které se v pilířích Indexu prosperity obvykle vyznačují dobrým skóre v případě sociálních témat. S podílem 8,4 % nezaměstnaných sdílejí tyto severské státy 24. příčku.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Češi si z volných pracovních míst mohou vybírat, v míře neobsazenosti jsme čtvrtí v EU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Nízká nezaměstnanost jde ruku v ruce s dalším indikátorem, kterým je míra neobsazenosti pracovních pozic. Česko ji mělo čtvrtou nejvyšší. Vyšší hodnota v tomto případě odpovídá většímu množství volných pracovních míst – zatímco jedincům hledajícím práci vysoká hodnota nabízí širší možnosti uplatnění, u firem to znamená, že jim často chybí potřebná pracovní síla. Přestože jsme si ve srovnání meziročně o jednu příčku polepšili, volných míst reálně ubylo. Hodnota postupně klesá od roku 2019.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V důsledku války na Ukrajině, související energetické krize a inflace došlo ke snižování investic, a tedy náboru zaměstnanců v některých sektorech. Firmy si do určité míry zvykly na nedostatek pracovní síly a hledají cesty, jak pracovat efektivněji. Zároveň došlo k útlumu některých průmyslových odvětví, zejména energeticky náročných,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rtl w:val="0"/>
        </w:rPr>
        <w:t xml:space="preserve"> dodává k vývoji neobsazenosti pozic Jakub Augusta z Ministerstva práce a sociálních věcí (MPSV).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Pracovní trh je dynamický, a zatímco určité typy pozic zanikají, jiné naopak vznikají. Potřebný je proto kvalitní systém rekvalifikací. Jak uvádí </w:t>
      </w:r>
      <w:hyperlink r:id="rId11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Analýza rekvalifikací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MPSV z prosince 2024, veřejné výdaje na rekvalifikační kurzy v Česku patří k těm nejnižším v EU. V roce 2023 z nezaměstnaných hledajících novou práci prošel rekvalifikací pouze 1 z 50. Úřad práce však v posledních letech zaznamenává rostoucí zájem nechat se rekvalifikovat. Porovnání dat z prvních pěti měsíců letošního roku a stejného období v minulém roce </w:t>
      </w:r>
      <w:hyperlink r:id="rId12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ukazuje na meziroční nárůst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účastníků rekvalifikací o 52 %.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V příští dekádě bude mít Česko nedostatek učitelů a zdravotníků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Kvůli postupnému přeskupování lidí na pracovním trhu bude v Česku v následující dekádě u některých profesí klíčových pro zdravé fungování společnosti hrozit nedostatek pracovní síly. Naznačuje to analýza </w:t>
      </w:r>
      <w:hyperlink r:id="rId13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Budoucnost českého pracovního trhu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 Očekává se nedostatek učitelů ve školkách, na prvním a druhém stupni i na středních školách. Chybět budou i zdravotní sestry, porodní asistentky, a to v souvislosti se stárnoucí populací a rostoucí potřebou zdravotní péče. Nedostatkovým zbožím mají být dále technici ve fyzikálních a průmyslových oborech.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Ve světle hrozícího budoucího nedostatku pracovníků zmíněných profesí stát skrze MPSV i meziresortní spolupráci přistupuje nebo plánuje přistoupit k různým opatřením. Ke zvýšení atraktivity profesí ve školství a zdravotnictví má vést zvyšování platů, náborové kampaně, stipendijní programy, rekvalifikační kurzy i duální vzdělávání.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Důležitým aspektem je i schopnost pracovat s umělou inteligencí. Význam těchto zručností si uvědomují jak zaměstnanci, tak zaměstnavatelé, naznačují to </w:t>
      </w:r>
      <w:hyperlink r:id="rId14">
        <w:r w:rsidDel="00000000" w:rsidR="00000000" w:rsidRPr="00000000">
          <w:rPr>
            <w:rFonts w:ascii="Aptos" w:cs="Aptos" w:eastAsia="Aptos" w:hAnsi="Aptos"/>
            <w:color w:val="0563c1"/>
            <w:u w:val="single"/>
            <w:rtl w:val="0"/>
          </w:rPr>
          <w:t xml:space="preserve">data Úřadu práce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 V žebříčku nejžádanějších kurzů digitálního vzdělávání témata související s AI drží od začátku roku 2025 dokonce prvních sedmnáct příček. Touhu osvojovat si AI dovednosti potvrzuje také </w:t>
      </w:r>
      <w:r w:rsidDel="00000000" w:rsidR="00000000" w:rsidRPr="00000000">
        <w:rPr>
          <w:rFonts w:ascii="Aptos" w:cs="Aptos" w:eastAsia="Aptos" w:hAnsi="Aptos"/>
          <w:rtl w:val="0"/>
        </w:rPr>
        <w:t xml:space="preserve">Jakub Haláček z Unicorn Research Centre: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„Pozorujeme zájem o vzdělávání v oblasti umělé inteligence, a to především o to, jak ji využívat pro osobní potřeby i zvýšení pracovní produktivity. Zájem přichází jak od jednotlivců, kteří navštěvují naše kurzy, tak od firem, které si vzdělávání objednávají pro své zaměstnance. Často začínají u managementu a postupně zapojují i další pozice.“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Gender pay gap mírně vzrostl na 18 %. Pomoci k rovnosti má flexinovela zákoníku práce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Oblastmi, ve kterých je Česko nejslabší, zůstávají pracovní podmínky žen a mužů. Stejně jako v minulém ročníku odpovídá podle </w:t>
      </w:r>
      <w:hyperlink r:id="rId15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dat Eurostatu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rozdíl v odměňování žen a mužů 25. nejvyšší hodnotě v rámci EU. Mezi hlavní příčiny gender pay gapu patří netransparentnost ohledně výše odměn, ale také značná segregace českého trhu práce.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highlight w:val="white"/>
          <w:rtl w:val="0"/>
        </w:rPr>
        <w:t xml:space="preserve">Ženy a muži se koncentrují v odlišných oborech a profesích a ty, které jsou obsazeny převážně muži, jsou výše placené. Máme také extrémně málo žen ve vedení všech typů. Ve všech těchto ukazatelích zaostáváme za průměrem EU a všechny mají vliv na výsledné číslo ukazatele gender pay gap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,“ vysvětluje socioložka a expertka na trh práce a rovné příležitosti Lenka Simerská.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Krokem k rovnějšími podmínkám Čechů a Češek na pracovním trhu by se měla stát tzv. </w:t>
      </w:r>
      <w:hyperlink r:id="rId16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flexinovela zákoníku práce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účinná od 1. června 2025. Z pohledu genderové rovnosti patří mezi její nejvýznamnější změny zákaz doložky mlčenlivosti bránící zaměstnancům sdílet informace o výši jejich odměny. Vyšší transparentnost ohledně odměňování pak může přispět ke snížení gender pay gapu.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Nerovnost z pohledu lidí s hendikepem se projevuje už v pracovních inzerátech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Nerovnost na trhu práce nevzniká jen z pohledu genderu, ale také podle řady dalších charakteristik. Jednou ze skupin, která se na trhu práce potýká s překážkami, jsou lidé s hendikepem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⁠⁠</w:t>
      </w:r>
      <w:r w:rsidDel="00000000" w:rsidR="00000000" w:rsidRPr="00000000">
        <w:rPr>
          <w:rFonts w:ascii="Aptos" w:cs="Aptos" w:eastAsia="Aptos" w:hAnsi="Aptos"/>
          <w:rtl w:val="0"/>
        </w:rPr>
        <w:t xml:space="preserve">, kteří se stále setkávají s postojem, že je pro ně určený chráněný trh práce.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To je mýtus. Cílem je naopak zaměstnávání na běžném pracovním trhu v pozicích, které jsou pro lidi se specifickými potřebami vhodné,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rtl w:val="0"/>
        </w:rPr>
        <w:t xml:space="preserve"> říká šéfredaktorka platformy Byznys &amp; udržitelnost Kateřina Novotná a upozorňuje, že nerovnost se často projevuje už v samotných pracovních inzerátech.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Aptos" w:cs="Aptos" w:eastAsia="Aptos" w:hAnsi="Aptos"/>
          <w:b w:val="1"/>
          <w:highlight w:val="yellow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Ve věci přizpůsobování se zaměstnavatelů potřebám hendikepovaných přitom často nejde o nic komplikovaného: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Nejčastějším požadavkem lidí s hendikepem na trhu práce je možnost zkráceného úvazku a aby je kolegové brali takové, jací jsou,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rtl w:val="0"/>
        </w:rPr>
        <w:t xml:space="preserve"> popisuje Kateřina Broža z výzkumného ústavu STEM.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Částečně či úplně z domova pracuje téměř 60 % Čechů, jejichž práce to umožňuje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Ve flexibilitě práce jsme letos skončili na 9. místě.</w:t>
      </w:r>
      <w:r w:rsidDel="00000000" w:rsidR="00000000" w:rsidRPr="00000000">
        <w:rPr>
          <w:rFonts w:ascii="Aptos" w:cs="Aptos" w:eastAsia="Aptos" w:hAnsi="Aptos"/>
          <w:rtl w:val="0"/>
        </w:rPr>
        <w:t xml:space="preserve"> Podle </w:t>
      </w:r>
      <w:hyperlink r:id="rId17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dat prezentovaných Eurofoundem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pracuje úplně nebo alespoň částečně z domova 59,5 % Čechů, jejichž zaměstnání práci na dálku umožňuje. Výrazné rozdíly přináší genderové porovnání – zatímco alespoň někdy pracují z domova více než dvě třetiny mužů, mezi ženami podíl dosahuje jen 49 %. 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Podíl zkrácených úvazků v Česku sice postupně roste (v roce 2024 dosáhl 7,7 %) a meziročně došlo k posunu o dvě příčky na 17. pozici v EU, přesto např. v porovnání s Nizozemskem stále zaostáváme. To si prvenství drží napříč ročníky, a zkrácených je zde 42,7 % úvazků. Narůst zkrácených úvazků v posledním roce zaznamenala i Česká spořitelna, jak potvrzuje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manažerka udržitelnosti Petra Ondrušová</w:t>
      </w:r>
      <w:r w:rsidDel="00000000" w:rsidR="00000000" w:rsidRPr="00000000">
        <w:rPr>
          <w:rFonts w:ascii="Aptos" w:cs="Aptos" w:eastAsia="Aptos" w:hAnsi="Aptos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Aktuálně na zkrácený úvazek pracuje více než desetina zaměstnanců banky, přičemž nejvíce je využívají ženy ve věkové skupině 40–49 let. Zároveň se nám v posledních letech daří velmi efektivně zvyšovat návratnost zaměstnanců z mateřské nebo rodičovské dovolené, kteří následně ve firmě zůstávají déle než jeden rok. V červnu 2023 to bylo 87 % a od prosince 2023 se držíme nad 90 %.</w:t>
      </w:r>
      <w:r w:rsidDel="00000000" w:rsidR="00000000" w:rsidRPr="00000000">
        <w:rPr>
          <w:rFonts w:ascii="Aptos" w:cs="Aptos" w:eastAsia="Aptos" w:hAnsi="Aptos"/>
          <w:i w:val="1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Aptos" w:cs="Aptos" w:eastAsia="Aptos" w:hAnsi="Aptos"/>
          <w:highlight w:val="white"/>
        </w:rPr>
      </w:pPr>
      <w:hyperlink r:id="rId18">
        <w:r w:rsidDel="00000000" w:rsidR="00000000" w:rsidRPr="00000000">
          <w:rPr>
            <w:rFonts w:ascii="Aptos" w:cs="Aptos" w:eastAsia="Aptos" w:hAnsi="Aptos"/>
            <w:color w:val="0563c1"/>
            <w:highlight w:val="white"/>
            <w:u w:val="single"/>
            <w:rtl w:val="0"/>
          </w:rPr>
          <w:t xml:space="preserve">Na tomto odkazu naleznete infografiku: Hodnoty indikátorů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Aptos" w:cs="Aptos" w:eastAsia="Aptos" w:hAnsi="Aptos"/>
        </w:rPr>
      </w:pPr>
      <w:hyperlink r:id="rId19">
        <w:r w:rsidDel="00000000" w:rsidR="00000000" w:rsidRPr="00000000">
          <w:rPr>
            <w:rFonts w:ascii="Aptos" w:cs="Aptos" w:eastAsia="Aptos" w:hAnsi="Aptos"/>
            <w:color w:val="0563c1"/>
            <w:highlight w:val="white"/>
            <w:u w:val="single"/>
            <w:rtl w:val="0"/>
          </w:rPr>
          <w:t xml:space="preserve">Na tomto odkazu naleznete infografiku: Rozpad indikátorů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Více o Indexu prosperity a finančního zdraví na </w:t>
      </w:r>
      <w:hyperlink r:id="rId20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Indexprosperity.cz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Kontakt pro média: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Adéla Veselá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color w:val="0563c1"/>
          <w:u w:val="single"/>
          <w:rtl w:val="0"/>
        </w:rPr>
        <w:t xml:space="preserve">adela.vesela@dfmg.cz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Tel.: +420 722 193 819</w:t>
      </w:r>
    </w:p>
    <w:sectPr>
      <w:footerReference r:id="rId21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-438147</wp:posOffset>
          </wp:positionH>
          <wp:positionV relativeFrom="paragraph">
            <wp:posOffset>514984</wp:posOffset>
          </wp:positionV>
          <wp:extent cx="7509510" cy="132080"/>
          <wp:effectExtent b="0" l="0" r="0" t="0"/>
          <wp:wrapTopAndBottom distB="0" distT="0"/>
          <wp:docPr id="66441149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20094" r="19202" t="0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B55E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55E49"/>
    <w:rPr>
      <w:color w:val="605e5c"/>
      <w:shd w:color="auto" w:fill="e1dfdd" w:val="clear"/>
    </w:rPr>
  </w:style>
  <w:style w:type="paragraph" w:styleId="Revize">
    <w:name w:val="Revision"/>
    <w:hidden w:val="1"/>
    <w:uiPriority w:val="99"/>
    <w:semiHidden w:val="1"/>
    <w:rsid w:val="009F0141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644388"/>
    <w:pPr>
      <w:spacing w:after="0" w:line="240" w:lineRule="auto"/>
    </w:pPr>
    <w:rPr>
      <w:rFonts w:ascii="Arial" w:cs="Arial" w:eastAsia="Arial" w:hAnsi="Arial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644388"/>
    <w:rPr>
      <w:rFonts w:ascii="Arial" w:cs="Arial" w:eastAsia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644388"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64438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87D33"/>
  </w:style>
  <w:style w:type="paragraph" w:styleId="Zpat">
    <w:name w:val="footer"/>
    <w:basedOn w:val="Normln"/>
    <w:link w:val="Zpat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87D33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1E1D4E"/>
    <w:pPr>
      <w:spacing w:after="160"/>
    </w:pPr>
    <w:rPr>
      <w:rFonts w:ascii="Calibri" w:cs="Calibri" w:eastAsia="Calibri" w:hAnsi="Calibri"/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1E1D4E"/>
    <w:rPr>
      <w:rFonts w:ascii="Arial" w:cs="Arial" w:eastAsia="Arial" w:hAnsi="Arial"/>
      <w:b w:val="1"/>
      <w:bCs w:val="1"/>
      <w:sz w:val="20"/>
      <w:szCs w:val="20"/>
    </w:rPr>
  </w:style>
  <w:style w:type="paragraph" w:styleId="Normlnweb">
    <w:name w:val="Normal (Web)"/>
    <w:basedOn w:val="Normln"/>
    <w:uiPriority w:val="99"/>
    <w:unhideWhenUsed w:val="1"/>
    <w:rsid w:val="00A44B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indexprosperity.cz/" TargetMode="External"/><Relationship Id="rId11" Type="http://schemas.openxmlformats.org/officeDocument/2006/relationships/hyperlink" Target="https://www.mpsv.cz/analyza-rekvalifikaci-kde-jsme-a-co-dal-" TargetMode="External"/><Relationship Id="rId10" Type="http://schemas.openxmlformats.org/officeDocument/2006/relationships/hyperlink" Target="https://ec.europa.eu/eurostat/databrowser/view/une_rt_a__custom_16815634/default/table?lang=en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eb-assets.bcg.com/97/eb/ed5a447d4661a52e99e69b68ad68/budoucnost-ceskeho-pracovniho-trhu-verze-25-3-2025.pdf" TargetMode="External"/><Relationship Id="rId12" Type="http://schemas.openxmlformats.org/officeDocument/2006/relationships/hyperlink" Target="https://www.uradprace.cz/nezamestnanost-v-cesku-v-kvetnu-klesla-na-4-2-pred-letem-se-obsazuji-mista-v-cestovnim-ruchu-a-pohostinstv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s://ec.europa.eu/eurostat/databrowser/view/SDG_05_20/default/table?lang=en" TargetMode="External"/><Relationship Id="rId14" Type="http://schemas.openxmlformats.org/officeDocument/2006/relationships/hyperlink" Target="https://www.uradprace.cz/nezamestnanost-v-cesku-v-kvetnu-klesla-na-4-2-pred-letem-se-obsazuji-mista-v-cestovnim-ruchu-a-pohostinstvi" TargetMode="External"/><Relationship Id="rId17" Type="http://schemas.openxmlformats.org/officeDocument/2006/relationships/hyperlink" Target="https://www.eurofound.europa.eu/en/data-catalogue/frequency-working-home-among-those-teleworkable-jobs-eu-member-state-and-gender-2024" TargetMode="External"/><Relationship Id="rId16" Type="http://schemas.openxmlformats.org/officeDocument/2006/relationships/hyperlink" Target="https://rovnaodmena.cz/flexinovela-zakoniku-prace-jak-pomuze-k-rovnosti-odmenovani/" TargetMode="External"/><Relationship Id="rId5" Type="http://schemas.openxmlformats.org/officeDocument/2006/relationships/styles" Target="styles.xml"/><Relationship Id="rId19" Type="http://schemas.openxmlformats.org/officeDocument/2006/relationships/hyperlink" Target="https://public.tableau.com/app/profile/dark.side/viz/EvD_2025_Indexprosperity_5_Trhprce/Dashboard_rozpad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public.tableau.com/app/profile/dark.side/viz/EvD_2025_Indexprosperity_5_Trhprce/Dashboard_hodnoty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public.tableau.com/app/profile/dark.side/viz/EvD_2025_Indexprosperity_5_Trhprce/Dashboard_ma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DDGsjnL8FLaGXF1QAEy1rMv/w==">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2025-06-24T12:55:00Z</dcterms:created>
  <dc:creator>Jana Bakešová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2022-06-13T07:50:24Z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87e722f6-8a85-4d74-9307-d8e67f666506</vt:lpwstr>
  </property>
  <property fmtid="{D5CDD505-2E9C-101B-9397-08002B2CF9AE}" pid="8" name="MSIP_Label_2b3a104e-2916-42dc-a2f6-6210338509ed_ContentBits">
    <vt:lpwstr>1</vt:lpwstr>
  </property>
</Properties>
</file>