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4446</wp:posOffset>
            </wp:positionH>
            <wp:positionV relativeFrom="paragraph">
              <wp:posOffset>1</wp:posOffset>
            </wp:positionV>
            <wp:extent cx="1616710" cy="377825"/>
            <wp:effectExtent b="0" l="0" r="0" t="0"/>
            <wp:wrapSquare wrapText="bothSides" distB="114300" distT="114300" distL="114300" distR="114300"/>
            <wp:docPr id="66441148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377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Tisková zpráva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Analýza: Ačkoli si Česko v unijním srovnání stavu životního prostředí polepšilo, zůstáváme pod průměrem. Dolu nás táhnou vysoké emise a nedostatek energie z obnovitelných zdrojů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7eprosmkb3bn" w:id="0"/>
      <w:bookmarkEnd w:id="0"/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Praha, 15. dubna 2025 –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 pilíři životního prostředí Indexu prosperity a finančního zdraví si Česká republika polepšila z 22. na 19. příčku.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 H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nacím faktorem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bylo výrazné snížení emisí z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 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obhospodařování půdy a lesů, které za jediný rok klesly o takřka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 mil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ionů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tun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CO₂. Díky tomu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 již v tomto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indikátoru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 nejsme zemí s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nejhoršími výsledky v EU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druhou stranu Česko i nadále zaostává v produkci energie z obnovitelných zdrojů a stagnuje ve výstavbě větrných elektráren. Stejně jako v minulém roce zůstávají pro Česko problematické emise z vytápění domácností, přičemž část domácností stále využívá uhlí a dřevo.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Stav životního prostředí v České republice se zlepšuje, ukazuje to další srovnání Indexu prosperity a</w:t>
      </w:r>
      <w:r w:rsidDel="00000000" w:rsidR="00000000" w:rsidRPr="00000000">
        <w:rPr>
          <w:rFonts w:ascii="Aptos" w:cs="Aptos" w:eastAsia="Aptos" w:hAnsi="Aptos"/>
          <w:rtl w:val="0"/>
        </w:rPr>
        <w:t xml:space="preserve"> 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finančního zdraví. Zatímco v letech 2023 i 2024 obsadilo Česko v tomto pilíři 22. příčku, letos se v</w:t>
      </w:r>
      <w:r w:rsidDel="00000000" w:rsidR="00000000" w:rsidRPr="00000000">
        <w:rPr>
          <w:rFonts w:ascii="Aptos" w:cs="Aptos" w:eastAsia="Aptos" w:hAnsi="Aptos"/>
          <w:rtl w:val="0"/>
        </w:rPr>
        <w:t xml:space="preserve"> 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unijním srovnání posunulo na 19. místo. Navzdory tomuto pozitivnímu vývoji zůstáváme v rámci EU pod průměrem. Nejlepší stav životního prostředí, stejně jako v předchozích ročnících, vykazuje Švédsko. Trojicí s nejhorším životním prostředím v EU zůstává Irsko, Kypr a Řecko.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Aptos" w:cs="Aptos" w:eastAsia="Aptos" w:hAnsi="Aptos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Interaktivní infografiku k celkovým výsledkům naleznete na tomto odkazu.</w:t>
        </w:r>
      </w:hyperlink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</w:rPr>
        <w:drawing>
          <wp:inline distB="0" distT="0" distL="0" distR="0">
            <wp:extent cx="6645910" cy="3218815"/>
            <wp:effectExtent b="0" l="0" r="0" t="0"/>
            <wp:docPr descr="Obsah obrázku text, snímek obrazovky, mapa&#10;&#10;Popis byl vytvořen automaticky" id="664411491" name="image3.png"/>
            <a:graphic>
              <a:graphicData uri="http://schemas.openxmlformats.org/drawingml/2006/picture">
                <pic:pic>
                  <pic:nvPicPr>
                    <pic:cNvPr descr="Obsah obrázku text, snímek obrazovky, mapa&#10;&#10;Popis byl vytvořen automaticky"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188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Meziročně v Česku klesly emise z obhospodařování půdy a lesů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Ačkoli podle dat </w:t>
      </w:r>
      <w:hyperlink r:id="rId10">
        <w:r w:rsidDel="00000000" w:rsidR="00000000" w:rsidRPr="00000000">
          <w:rPr>
            <w:rFonts w:ascii="Aptos" w:cs="Aptos" w:eastAsia="Aptos" w:hAnsi="Aptos"/>
            <w:color w:val="1155cc"/>
            <w:u w:val="single"/>
            <w:rtl w:val="0"/>
          </w:rPr>
          <w:t xml:space="preserve">Eurostatu</w:t>
        </w:r>
      </w:hyperlink>
      <w:r w:rsidDel="00000000" w:rsidR="00000000" w:rsidRPr="00000000">
        <w:rPr>
          <w:rFonts w:ascii="Aptos" w:cs="Aptos" w:eastAsia="Aptos" w:hAnsi="Aptos"/>
          <w:rtl w:val="0"/>
        </w:rPr>
        <w:t xml:space="preserve"> celkové emise skleníkových plynů na obyvatele v Česku v průběhu let klesají, stále jde o jeden z indikátorů, ve kterém si země vede nejhůře. Česko zůstává šestým největším producentem skleníkových plynů na obyvatele v EU, a to i přesto, že hodnota meziročně klesla z 10,16 tun ekvivalentu CO₂ na 9,25. </w:t>
      </w:r>
      <w:r w:rsidDel="00000000" w:rsidR="00000000" w:rsidRPr="00000000">
        <w:rPr>
          <w:rFonts w:ascii="Aptos" w:cs="Aptos" w:eastAsia="Aptos" w:hAnsi="Aptos"/>
          <w:highlight w:val="white"/>
          <w:rtl w:val="0"/>
        </w:rPr>
        <w:t xml:space="preserve">„</w:t>
      </w:r>
      <w:r w:rsidDel="00000000" w:rsidR="00000000" w:rsidRPr="00000000">
        <w:rPr>
          <w:rFonts w:ascii="Aptos" w:cs="Aptos" w:eastAsia="Aptos" w:hAnsi="Aptos"/>
          <w:i w:val="1"/>
          <w:highlight w:val="white"/>
          <w:rtl w:val="0"/>
        </w:rPr>
        <w:t xml:space="preserve">Největší pokles emisí v Česku je zaznamenán v energetice díky postupnému odstavování uhelných elektráren a přechodu na obnovitelné zdroje</w:t>
      </w:r>
      <w:r w:rsidDel="00000000" w:rsidR="00000000" w:rsidRPr="00000000">
        <w:rPr>
          <w:rFonts w:ascii="Aptos" w:cs="Aptos" w:eastAsia="Aptos" w:hAnsi="Aptos"/>
          <w:highlight w:val="white"/>
          <w:rtl w:val="0"/>
        </w:rPr>
        <w:t xml:space="preserve">,“ popisuje Barbora Kočí z Českého hydrometeorologického ústavu (ČHMÚ) a dodává, že mezi dalšími </w:t>
      </w:r>
      <w:r w:rsidDel="00000000" w:rsidR="00000000" w:rsidRPr="00000000">
        <w:rPr>
          <w:rFonts w:ascii="Aptos" w:cs="Aptos" w:eastAsia="Aptos" w:hAnsi="Aptos"/>
          <w:highlight w:val="white"/>
          <w:rtl w:val="0"/>
        </w:rPr>
        <w:t xml:space="preserve">sektory</w:t>
      </w:r>
      <w:r w:rsidDel="00000000" w:rsidR="00000000" w:rsidRPr="00000000">
        <w:rPr>
          <w:rFonts w:ascii="Aptos" w:cs="Aptos" w:eastAsia="Aptos" w:hAnsi="Aptos"/>
          <w:highlight w:val="white"/>
          <w:rtl w:val="0"/>
        </w:rPr>
        <w:t xml:space="preserve">, které ke snižování emisí významně přispívají, je výroba, kde se uhlíková stopa snižuje vlivem zapojení efektivnějších technologií.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Výraznějšího zlepšení dosáhlo Česko podle údajů </w:t>
      </w:r>
      <w:hyperlink r:id="rId11">
        <w:r w:rsidDel="00000000" w:rsidR="00000000" w:rsidRPr="00000000">
          <w:rPr>
            <w:rFonts w:ascii="Aptos" w:cs="Aptos" w:eastAsia="Aptos" w:hAnsi="Aptos"/>
            <w:color w:val="1155cc"/>
            <w:u w:val="single"/>
            <w:rtl w:val="0"/>
          </w:rPr>
          <w:t xml:space="preserve">Evropské agentury pro životní prostředí</w:t>
        </w:r>
      </w:hyperlink>
      <w:r w:rsidDel="00000000" w:rsidR="00000000" w:rsidRPr="00000000">
        <w:rPr>
          <w:rFonts w:ascii="Aptos" w:cs="Aptos" w:eastAsia="Aptos" w:hAnsi="Aptos"/>
          <w:rtl w:val="0"/>
        </w:rPr>
        <w:t xml:space="preserve"> (EEA) v oblasti emisí z lesů a půdy vznikajících vlivem lidské činnosti během jejich obhospodařování (tzv. LULUCF). Zatímco ve všech předchozích ročnících jsme v tomto ukazateli dopadli nejhůře z celé EU, letos jsme si polepšili na 22. místo. </w:t>
      </w:r>
      <w:r w:rsidDel="00000000" w:rsidR="00000000" w:rsidRPr="00000000">
        <w:rPr>
          <w:rFonts w:ascii="Aptos" w:cs="Aptos" w:eastAsia="Aptos" w:hAnsi="Aptos"/>
          <w:highlight w:val="white"/>
          <w:rtl w:val="0"/>
        </w:rPr>
        <w:t xml:space="preserve">„</w:t>
      </w: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Hodnota mezi lety 2021 a 2022 klesla z 8 358 na 3 378 tisíce tun ekvivalentu CO</w:t>
      </w:r>
      <w:r w:rsidDel="00000000" w:rsidR="00000000" w:rsidRPr="00000000">
        <w:rPr>
          <w:rFonts w:ascii="Aptos" w:cs="Aptos" w:eastAsia="Aptos" w:hAnsi="Aptos"/>
          <w:i w:val="1"/>
          <w:vertAlign w:val="subscript"/>
          <w:rtl w:val="0"/>
        </w:rPr>
        <w:t xml:space="preserve">2</w:t>
      </w: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 vyprodukovaných emisí. Lesy a půda jsou tak u nás pro prostředí menší zátěží než v Irsku, Německu, Finsku, Lotyšsku a Nizozemsku</w:t>
      </w:r>
      <w:r w:rsidDel="00000000" w:rsidR="00000000" w:rsidRPr="00000000">
        <w:rPr>
          <w:rFonts w:ascii="Aptos" w:cs="Aptos" w:eastAsia="Aptos" w:hAnsi="Aptos"/>
          <w:rtl w:val="0"/>
        </w:rPr>
        <w:t xml:space="preserve">,</w:t>
      </w:r>
      <w:r w:rsidDel="00000000" w:rsidR="00000000" w:rsidRPr="00000000">
        <w:rPr>
          <w:rFonts w:ascii="Aptos" w:cs="Aptos" w:eastAsia="Aptos" w:hAnsi="Aptos"/>
          <w:highlight w:val="white"/>
          <w:rtl w:val="0"/>
        </w:rPr>
        <w:t xml:space="preserve">“</w:t>
      </w:r>
      <w:r w:rsidDel="00000000" w:rsidR="00000000" w:rsidRPr="00000000">
        <w:rPr>
          <w:rFonts w:ascii="Aptos" w:cs="Aptos" w:eastAsia="Aptos" w:hAnsi="Aptos"/>
          <w:rtl w:val="0"/>
        </w:rPr>
        <w:t xml:space="preserve"> srovnává analytička Evropy v datech Hana Vincourová.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Emise z vytápění domácností klesají, přesto část Čechů stále topí uhlím a dřevem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 konkrétních sektorech, kde emise vznikají, si Česko vede dobře zejména v dopravě a skladování. Podle </w:t>
      </w:r>
      <w:hyperlink r:id="rId12">
        <w:r w:rsidDel="00000000" w:rsidR="00000000" w:rsidRPr="00000000">
          <w:rPr>
            <w:rFonts w:ascii="Aptos" w:cs="Aptos" w:eastAsia="Aptos" w:hAnsi="Apto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Eurostatu</w:t>
        </w:r>
      </w:hyperlink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dosahuje s hodnotou téměř 1 287 kilogramů emisí na osobu třetí nejlepší pozice v EU. Méně skleníkových plynů na obyvatele produkují pouze Rumunsko a Slovensko. Naopak negativní trend přetrvává v oblasti emisí z průmyslu. I přes </w:t>
      </w:r>
      <w:hyperlink r:id="rId13">
        <w:r w:rsidDel="00000000" w:rsidR="00000000" w:rsidRPr="00000000">
          <w:rPr>
            <w:rFonts w:ascii="Aptos" w:cs="Aptos" w:eastAsia="Aptos" w:hAnsi="Aptos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postupně klesající hodnoty</w:t>
        </w:r>
      </w:hyperlink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škodlivin vypouštěných do ovzduší se Česko letos umístilo na 19. příčce, což potvrzuje dlouhodobě slabé výsledky v tomto sektoru.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Stejně jako v minulém ročníku zůstávají pro Česko problematické také emise z vytápění domácností. Přestože meziročně klesly z 836 na necelých 744 kilogramů skleníkových plynů na osobu, v rámci EU produkuje při vytápění méně emisí jednadvacet členských států. Jak uvádí </w:t>
      </w:r>
      <w:hyperlink r:id="rId14">
        <w:r w:rsidDel="00000000" w:rsidR="00000000" w:rsidRPr="00000000">
          <w:rPr>
            <w:rFonts w:ascii="Aptos" w:cs="Aptos" w:eastAsia="Aptos" w:hAnsi="Aptos"/>
            <w:color w:val="1155cc"/>
            <w:u w:val="single"/>
            <w:rtl w:val="0"/>
          </w:rPr>
          <w:t xml:space="preserve">Zpráva o životním prostředí 2023</w:t>
        </w:r>
      </w:hyperlink>
      <w:r w:rsidDel="00000000" w:rsidR="00000000" w:rsidRPr="00000000">
        <w:rPr>
          <w:rFonts w:ascii="Aptos" w:cs="Aptos" w:eastAsia="Aptos" w:hAnsi="Aptos"/>
          <w:rtl w:val="0"/>
        </w:rPr>
        <w:t xml:space="preserve">, část českých domácností při vytápění stále využívá uhlí a dřevo, čímž významně přispívá ke znečišťování ovzduší prachovými částicemi a dalšími škodlivinami.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Aptos" w:cs="Aptos" w:eastAsia="Aptos" w:hAnsi="Aptos"/>
        </w:rPr>
      </w:pPr>
      <w:hyperlink r:id="rId15">
        <w:r w:rsidDel="00000000" w:rsidR="00000000" w:rsidRPr="00000000">
          <w:rPr>
            <w:rFonts w:ascii="Aptos" w:cs="Aptos" w:eastAsia="Aptos" w:hAnsi="Aptos"/>
            <w:color w:val="1155cc"/>
            <w:u w:val="single"/>
            <w:rtl w:val="0"/>
          </w:rPr>
          <w:t xml:space="preserve">Interaktivní infografiku k rozpadu indikátorů naleznete na tomto odkazu.</w:t>
        </w:r>
      </w:hyperlink>
      <w:r w:rsidDel="00000000" w:rsidR="00000000" w:rsidRPr="00000000">
        <w:rPr>
          <w:rFonts w:ascii="Aptos" w:cs="Aptos" w:eastAsia="Aptos" w:hAnsi="Aptos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Dobrou zprávou je, že v Česku </w:t>
      </w:r>
      <w:hyperlink r:id="rId16">
        <w:r w:rsidDel="00000000" w:rsidR="00000000" w:rsidRPr="00000000">
          <w:rPr>
            <w:rFonts w:ascii="Aptos" w:cs="Aptos" w:eastAsia="Aptos" w:hAnsi="Aptos"/>
            <w:color w:val="1155cc"/>
            <w:u w:val="single"/>
            <w:rtl w:val="0"/>
          </w:rPr>
          <w:t xml:space="preserve">klesá počet úmrtí</w:t>
        </w:r>
      </w:hyperlink>
      <w:r w:rsidDel="00000000" w:rsidR="00000000" w:rsidRPr="00000000">
        <w:rPr>
          <w:rFonts w:ascii="Aptos" w:cs="Aptos" w:eastAsia="Aptos" w:hAnsi="Aptos"/>
          <w:rtl w:val="0"/>
        </w:rPr>
        <w:t xml:space="preserve"> způsobených znečištěným ovzduším. Zatímco v roce 2021 zemřelo v důsledku špatné kvality ovzduší 81 osob na 100 tisíc obyvatel, v roce 2022 tento počet klesl na 65. Díky tomu si Česko polepšilo v unijním srovnání z 20. na 18. místo. „</w:t>
      </w: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Dlouhodobé zlepšení potvrzují také data OECD o socioekonomických nákladech, které souvisejí se znečištěným ovzduším. Zatímco v roce 1999 tyto náklady v Česku přesahovaly 13 % HDP, dle posledních dostupných dat činily necelých 6 % HDP. I přes toto zlepšení se stále řadíme k zemím, kde jsou náklady spojené se znečištěným ovzduším nejvyšší. Pro srovnání, náklady severských zemí se pohybují okolo 0,6 % HDP,</w:t>
      </w:r>
      <w:r w:rsidDel="00000000" w:rsidR="00000000" w:rsidRPr="00000000">
        <w:rPr>
          <w:rFonts w:ascii="Aptos" w:cs="Aptos" w:eastAsia="Aptos" w:hAnsi="Aptos"/>
          <w:highlight w:val="white"/>
          <w:rtl w:val="0"/>
        </w:rPr>
        <w:t xml:space="preserve">“</w:t>
      </w:r>
      <w:r w:rsidDel="00000000" w:rsidR="00000000" w:rsidRPr="00000000">
        <w:rPr>
          <w:rFonts w:ascii="Aptos" w:cs="Aptos" w:eastAsia="Aptos" w:hAnsi="Aptos"/>
          <w:rtl w:val="0"/>
        </w:rPr>
        <w:t xml:space="preserve"> doplňuje analytička České spořitelny Tereza Hrtúsová.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Sucho postihuje jen 0,27 % půdy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Podíl suché půdy na území Česka byl v roce 2023 11. nejlepší v EU. </w:t>
      </w:r>
      <w:hyperlink r:id="rId17">
        <w:r w:rsidDel="00000000" w:rsidR="00000000" w:rsidRPr="00000000">
          <w:rPr>
            <w:rFonts w:ascii="Aptos" w:cs="Aptos" w:eastAsia="Aptos" w:hAnsi="Aptos"/>
            <w:color w:val="1155cc"/>
            <w:u w:val="single"/>
            <w:rtl w:val="0"/>
          </w:rPr>
          <w:t xml:space="preserve">Podle EEA</w:t>
        </w:r>
      </w:hyperlink>
      <w:r w:rsidDel="00000000" w:rsidR="00000000" w:rsidRPr="00000000">
        <w:rPr>
          <w:rFonts w:ascii="Aptos" w:cs="Aptos" w:eastAsia="Aptos" w:hAnsi="Aptos"/>
          <w:rtl w:val="0"/>
        </w:rPr>
        <w:t xml:space="preserve"> se sucho dotýkalo jen 0,27 % půdy. Pozitivní trend z roku 2023 však neznamená výhru nad suchem v dlouhodobém měřítku. „</w:t>
      </w:r>
      <w:r w:rsidDel="00000000" w:rsidR="00000000" w:rsidRPr="00000000">
        <w:rPr>
          <w:rFonts w:ascii="Aptos" w:cs="Aptos" w:eastAsia="Aptos" w:hAnsi="Aptos"/>
          <w:i w:val="1"/>
          <w:highlight w:val="white"/>
          <w:rtl w:val="0"/>
        </w:rPr>
        <w:t xml:space="preserve">Výskyt sucha se samozřejmě výrazně proměňuje mezi jednotlivými roky, a rok 2023 byl v Evropě prostě méně suchý</w:t>
      </w:r>
      <w:r w:rsidDel="00000000" w:rsidR="00000000" w:rsidRPr="00000000">
        <w:rPr>
          <w:rFonts w:ascii="Aptos" w:cs="Aptos" w:eastAsia="Aptos" w:hAnsi="Aptos"/>
          <w:highlight w:val="white"/>
          <w:rtl w:val="0"/>
        </w:rPr>
        <w:t xml:space="preserve">,“ podotýká ředitel Hydrologie ČHMÚ Jan Daňhelka a zdůrazňuje, že se nedá říct, že by se situace ohledně sucha zlepšovala</w:t>
      </w:r>
      <w:r w:rsidDel="00000000" w:rsidR="00000000" w:rsidRPr="00000000">
        <w:rPr>
          <w:rFonts w:ascii="Aptos" w:cs="Aptos" w:eastAsia="Aptos" w:hAnsi="Aptos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Aptos" w:cs="Aptos" w:eastAsia="Aptos" w:hAnsi="Aptos"/>
          <w:highlight w:val="white"/>
        </w:rPr>
      </w:pPr>
      <w:hyperlink r:id="rId18">
        <w:r w:rsidDel="00000000" w:rsidR="00000000" w:rsidRPr="00000000">
          <w:rPr>
            <w:rFonts w:ascii="Aptos" w:cs="Aptos" w:eastAsia="Aptos" w:hAnsi="Aptos"/>
            <w:color w:val="1155cc"/>
            <w:highlight w:val="white"/>
            <w:u w:val="single"/>
            <w:rtl w:val="0"/>
          </w:rPr>
          <w:t xml:space="preserve">Interaktivní infografiku k hodnotám indikátorů naleznete na tomto odkazu.</w:t>
        </w:r>
      </w:hyperlink>
      <w:r w:rsidDel="00000000" w:rsidR="00000000" w:rsidRPr="00000000">
        <w:rPr>
          <w:rFonts w:ascii="Aptos" w:cs="Aptos" w:eastAsia="Aptos" w:hAnsi="Aptos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V podílu obnovitelných zdrojů na produkci energie Česko stagnuje pod 19 %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V Česku pochází podle </w:t>
      </w:r>
      <w:hyperlink r:id="rId19">
        <w:r w:rsidDel="00000000" w:rsidR="00000000" w:rsidRPr="00000000">
          <w:rPr>
            <w:rFonts w:ascii="Aptos" w:cs="Aptos" w:eastAsia="Aptos" w:hAnsi="Aptos"/>
            <w:color w:val="1155cc"/>
            <w:u w:val="single"/>
            <w:rtl w:val="0"/>
          </w:rPr>
          <w:t xml:space="preserve">dat Eurostatu</w:t>
        </w:r>
      </w:hyperlink>
      <w:r w:rsidDel="00000000" w:rsidR="00000000" w:rsidRPr="00000000">
        <w:rPr>
          <w:rFonts w:ascii="Aptos" w:cs="Aptos" w:eastAsia="Aptos" w:hAnsi="Aptos"/>
          <w:rtl w:val="0"/>
        </w:rPr>
        <w:t xml:space="preserve"> z obnovitelných zdrojů (OZE) méně než pětina vyrobené energie. Meziročně se tento podíl zvýšil o necelé půl procento na 18,59 %, což nám v unijním srovnání vyneslo podprůměrnou 19. příčku. Pro srovnání – ve vedoucím Švédsku pochází z OZE 66,4 % z celkové produkce.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Česko v produkci elektřiny z OZE dlouhodobě zaostává, jak uvádí článek na portálu </w:t>
      </w:r>
      <w:hyperlink r:id="rId20">
        <w:r w:rsidDel="00000000" w:rsidR="00000000" w:rsidRPr="00000000">
          <w:rPr>
            <w:rFonts w:ascii="Aptos" w:cs="Aptos" w:eastAsia="Aptos" w:hAnsi="Aptos"/>
            <w:color w:val="1155cc"/>
            <w:u w:val="single"/>
            <w:rtl w:val="0"/>
          </w:rPr>
          <w:t xml:space="preserve">Evropa v datech</w:t>
        </w:r>
      </w:hyperlink>
      <w:r w:rsidDel="00000000" w:rsidR="00000000" w:rsidRPr="00000000">
        <w:rPr>
          <w:rFonts w:ascii="Aptos" w:cs="Aptos" w:eastAsia="Aptos" w:hAnsi="Aptos"/>
          <w:rtl w:val="0"/>
        </w:rPr>
        <w:t xml:space="preserve">. Zatímco solární elektrárny zažívají v posledních letech poměrně dynamický rozvoj, výstavba větrných elektráren v předchozí dekádě stagnovala. V roce 2015 byl instalovaný výkon větrných turbín 0,28 gigawattu, a do roku 2024 se zvýšil jen mírně – na 0,35 gigawattu. Naproti tomu v rámci celé EU došlo v roce 2023 </w:t>
      </w:r>
      <w:hyperlink r:id="rId21">
        <w:r w:rsidDel="00000000" w:rsidR="00000000" w:rsidRPr="00000000">
          <w:rPr>
            <w:rFonts w:ascii="Aptos" w:cs="Aptos" w:eastAsia="Aptos" w:hAnsi="Aptos"/>
            <w:color w:val="1155cc"/>
            <w:u w:val="single"/>
            <w:rtl w:val="0"/>
          </w:rPr>
          <w:t xml:space="preserve">k rekordnímu nárůstu</w:t>
        </w:r>
      </w:hyperlink>
      <w:r w:rsidDel="00000000" w:rsidR="00000000" w:rsidRPr="00000000">
        <w:rPr>
          <w:rFonts w:ascii="Aptos" w:cs="Aptos" w:eastAsia="Aptos" w:hAnsi="Aptos"/>
          <w:rtl w:val="0"/>
        </w:rPr>
        <w:t xml:space="preserve"> instalovaného výkonu větrných elektráren. </w:t>
      </w:r>
      <w:r w:rsidDel="00000000" w:rsidR="00000000" w:rsidRPr="00000000">
        <w:rPr>
          <w:rFonts w:ascii="Aptos" w:cs="Aptos" w:eastAsia="Aptos" w:hAnsi="Aptos"/>
          <w:highlight w:val="white"/>
          <w:rtl w:val="0"/>
        </w:rPr>
        <w:t xml:space="preserve">„</w:t>
      </w:r>
      <w:r w:rsidDel="00000000" w:rsidR="00000000" w:rsidRPr="00000000">
        <w:rPr>
          <w:rFonts w:ascii="Aptos" w:cs="Aptos" w:eastAsia="Aptos" w:hAnsi="Aptos"/>
          <w:i w:val="1"/>
          <w:highlight w:val="white"/>
          <w:rtl w:val="0"/>
        </w:rPr>
        <w:t xml:space="preserve">Česko se v době energetické krize v roce 2022 probudilo a viděli jsme strmý nárůst počtu instalací solárních panelů, a to i v řádu stovek procent. Dlouhodobě ale zaostáváme v instalaci větrných elektráren. V některých letech dokonce nebyla instalována ani jedna nová turbína,</w:t>
      </w:r>
      <w:r w:rsidDel="00000000" w:rsidR="00000000" w:rsidRPr="00000000">
        <w:rPr>
          <w:rFonts w:ascii="Aptos" w:cs="Aptos" w:eastAsia="Aptos" w:hAnsi="Aptos"/>
          <w:highlight w:val="white"/>
          <w:rtl w:val="0"/>
        </w:rPr>
        <w:t xml:space="preserve">“ uvádí analytička Evropy v datech a šéfredaktorka webu CSRD.cz Kateřina Novotná. Důvodem jsou jednak zdlouhavé povolovací procesy, ale také nedůvěra lidí.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Více o Indexu prosperity na </w:t>
      </w:r>
      <w:hyperlink r:id="rId22">
        <w:r w:rsidDel="00000000" w:rsidR="00000000" w:rsidRPr="00000000">
          <w:rPr>
            <w:rFonts w:ascii="Aptos" w:cs="Aptos" w:eastAsia="Aptos" w:hAnsi="Aptos"/>
            <w:color w:val="1155cc"/>
            <w:u w:val="single"/>
            <w:rtl w:val="0"/>
          </w:rPr>
          <w:t xml:space="preserve">Indexprosperity.cz</w:t>
        </w:r>
      </w:hyperlink>
      <w:r w:rsidDel="00000000" w:rsidR="00000000" w:rsidRPr="00000000">
        <w:rPr>
          <w:rFonts w:ascii="Aptos" w:cs="Aptos" w:eastAsia="Aptos" w:hAnsi="Aptos"/>
          <w:rtl w:val="0"/>
        </w:rPr>
        <w:t xml:space="preserve">.</w:t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rFonts w:ascii="Aptos" w:cs="Aptos" w:eastAsia="Aptos" w:hAnsi="Apto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Kontakt pro média:</w:t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Adéla Veselá</w:t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color w:val="0563c1"/>
          <w:u w:val="single"/>
          <w:rtl w:val="0"/>
        </w:rPr>
        <w:t xml:space="preserve">adela.vesela@dfmg.cz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Tel.: +420 722 193 819</w:t>
      </w:r>
    </w:p>
    <w:sectPr>
      <w:footerReference r:id="rId23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-438149</wp:posOffset>
          </wp:positionH>
          <wp:positionV relativeFrom="paragraph">
            <wp:posOffset>514984</wp:posOffset>
          </wp:positionV>
          <wp:extent cx="7509510" cy="132080"/>
          <wp:effectExtent b="0" l="0" r="0" t="0"/>
          <wp:wrapTopAndBottom distB="0" distT="0"/>
          <wp:docPr id="66441149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20094" r="19202" t="0"/>
                  <a:stretch>
                    <a:fillRect/>
                  </a:stretch>
                </pic:blipFill>
                <pic:spPr>
                  <a:xfrm>
                    <a:off x="0" y="0"/>
                    <a:ext cx="7509510" cy="13208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 w:val="1"/>
    <w:rsid w:val="00B55E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B55E49"/>
    <w:rPr>
      <w:color w:val="605e5c"/>
      <w:shd w:color="auto" w:fill="e1dfdd" w:val="clear"/>
    </w:rPr>
  </w:style>
  <w:style w:type="paragraph" w:styleId="Revize">
    <w:name w:val="Revision"/>
    <w:hidden w:val="1"/>
    <w:uiPriority w:val="99"/>
    <w:semiHidden w:val="1"/>
    <w:rsid w:val="009F0141"/>
    <w:pPr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644388"/>
    <w:pPr>
      <w:spacing w:after="0" w:line="240" w:lineRule="auto"/>
    </w:pPr>
    <w:rPr>
      <w:rFonts w:ascii="Arial" w:cs="Arial" w:eastAsia="Arial" w:hAnsi="Arial"/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644388"/>
    <w:rPr>
      <w:rFonts w:ascii="Arial" w:cs="Arial" w:eastAsia="Arial" w:hAnsi="Arial"/>
      <w:sz w:val="20"/>
      <w:szCs w:val="20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644388"/>
    <w:rPr>
      <w:sz w:val="16"/>
      <w:szCs w:val="16"/>
    </w:rPr>
  </w:style>
  <w:style w:type="character" w:styleId="Sledovanodkaz">
    <w:name w:val="FollowedHyperlink"/>
    <w:basedOn w:val="Standardnpsmoodstavce"/>
    <w:uiPriority w:val="99"/>
    <w:semiHidden w:val="1"/>
    <w:unhideWhenUsed w:val="1"/>
    <w:rsid w:val="00644388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 w:val="1"/>
    <w:rsid w:val="00887D3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887D33"/>
  </w:style>
  <w:style w:type="paragraph" w:styleId="Zpat">
    <w:name w:val="footer"/>
    <w:basedOn w:val="Normln"/>
    <w:link w:val="ZpatChar"/>
    <w:uiPriority w:val="99"/>
    <w:unhideWhenUsed w:val="1"/>
    <w:rsid w:val="00887D3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887D33"/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1E1D4E"/>
    <w:pPr>
      <w:spacing w:after="160"/>
    </w:pPr>
    <w:rPr>
      <w:rFonts w:ascii="Calibri" w:cs="Calibri" w:eastAsia="Calibri" w:hAnsi="Calibri"/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1E1D4E"/>
    <w:rPr>
      <w:rFonts w:ascii="Arial" w:cs="Arial" w:eastAsia="Arial" w:hAnsi="Arial"/>
      <w:b w:val="1"/>
      <w:bCs w:val="1"/>
      <w:sz w:val="20"/>
      <w:szCs w:val="20"/>
    </w:rPr>
  </w:style>
  <w:style w:type="paragraph" w:styleId="Normlnweb">
    <w:name w:val="Normal (Web)"/>
    <w:basedOn w:val="Normln"/>
    <w:uiPriority w:val="99"/>
    <w:unhideWhenUsed w:val="1"/>
    <w:rsid w:val="00A44B3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cs-CZ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evropavdatech.cz/clanek/113-energetika-v-cesku/" TargetMode="External"/><Relationship Id="rId11" Type="http://schemas.openxmlformats.org/officeDocument/2006/relationships/hyperlink" Target="https://ec.europa.eu/eurostat/databrowser/view/env_air_gge/default/table?lang=en" TargetMode="External"/><Relationship Id="rId22" Type="http://schemas.openxmlformats.org/officeDocument/2006/relationships/hyperlink" Target="http://www.indexprosperity.cz/" TargetMode="External"/><Relationship Id="rId10" Type="http://schemas.openxmlformats.org/officeDocument/2006/relationships/hyperlink" Target="https://ec.europa.eu/eurostat/databrowser/view/env_ac_aigg_q__custom_16069843/default/table?lang=en" TargetMode="External"/><Relationship Id="rId21" Type="http://schemas.openxmlformats.org/officeDocument/2006/relationships/hyperlink" Target="https://windeurope.org/intelligence-platform/product/wind-energy-in-europe-2023-statistics-and-the-outlook-for-2024-2030/" TargetMode="External"/><Relationship Id="rId13" Type="http://schemas.openxmlformats.org/officeDocument/2006/relationships/hyperlink" Target="https://www.google.com/url?q=https://ec.europa.eu/eurostat/databrowser/view/ENV_AC_AINAH_R2__custom_5228734/default/table?lang%3Den&amp;sa=D&amp;source=editors&amp;ust=1743666422948000&amp;usg=AOvVaw26u0ZtasmmnC1wKj83RiMI" TargetMode="External"/><Relationship Id="rId12" Type="http://schemas.openxmlformats.org/officeDocument/2006/relationships/hyperlink" Target="https://ec.europa.eu/eurostat/databrowser/view/ENV_AC_AINAH_R2__custom_5228734/default/table?lang=en" TargetMode="External"/><Relationship Id="rId23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hyperlink" Target="https://public.tableau.com/views/EvD_2025_Indexprosperity_3_ivotnprosted/Dashboard_rozpad?:language=en-US&amp;publish=yes&amp;:sid=&amp;:redirect=auth&amp;:display_count=n&amp;:origin=viz_share_link" TargetMode="External"/><Relationship Id="rId14" Type="http://schemas.openxmlformats.org/officeDocument/2006/relationships/hyperlink" Target="https://mzp.gov.cz/cz/pro-media-a-verejnost/aktuality/archiv-tiskovych-zprav/senat-schvalil-zpravu-o-zivotnim-prostredi" TargetMode="External"/><Relationship Id="rId17" Type="http://schemas.openxmlformats.org/officeDocument/2006/relationships/hyperlink" Target="https://www.eea.europa.eu/en/analysis/indicators/drought-impact-on-ecosystems-in-europe/drought-impact-area-during-2023?activeTab=570bee2d-1316-48cf-adde-4b640f92119b" TargetMode="External"/><Relationship Id="rId16" Type="http://schemas.openxmlformats.org/officeDocument/2006/relationships/hyperlink" Target="https://ec.europa.eu/eurostat/databrowser/view/sdg_11_52/default/table?lang=en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google.com/url?q=https://ec.europa.eu/eurostat/databrowser/view/nrg_ind_ren/default/table?lang%3Den&amp;sa=D&amp;source=editors&amp;ust=1744013570020370&amp;usg=AOvVaw3NWUmG_07u1YPBMHHhX0ah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public.tableau.com/views/EvD_2025_Indexprosperity_3_ivotnprosted/Dashboard_hodnoty?:language=en-US&amp;publish=yes&amp;:sid=&amp;:redirect=auth&amp;:display_count=n&amp;:origin=viz_share_link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public.tableau.com/views/EvD_2025_Indexprosperity_3_ivotnprosted/Dashboard_mapa?:language=en-US&amp;publish=yes&amp;:sid=&amp;:redirect=auth&amp;:display_count=n&amp;:origin=viz_share_link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zClmKOQkAIZ1bEU4tic+zEjEwQ==">CgMxLjAyDmguN2Vwcm9zbWtiM2JuOABqKAoUc3VnZ2VzdC5na3BjdmNpM25zMHASEEhhbmEgVmluY291cm92w6FqJwoTc3VnZ2VzdC5oY29xdzZscDNtdhIQSGFuYSBWaW5jb3Vyb3bDoWooChRzdWdnZXN0Lm1kb3BqZDJ2eXEyaBIQSGFuYSBWaW5jb3Vyb3bDoXIhMVpxV1owQ0NEZ3dwdC10MXo0bEFha3BoSlBFdDJZYTVC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2022-10-12T06:51:00Z</dcterms:created>
  <dc:creator>Jana Bakešová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a104e-2916-42dc-a2f6-6210338509ed_Enabled">
    <vt:lpwstr>true</vt:lpwstr>
  </property>
  <property fmtid="{D5CDD505-2E9C-101B-9397-08002B2CF9AE}" pid="3" name="MSIP_Label_2b3a104e-2916-42dc-a2f6-6210338509ed_SetDate">
    <vt:lpwstr>2022-06-13T07:50:24Z</vt:lpwstr>
  </property>
  <property fmtid="{D5CDD505-2E9C-101B-9397-08002B2CF9AE}" pid="4" name="MSIP_Label_2b3a104e-2916-42dc-a2f6-6210338509ed_Method">
    <vt:lpwstr>Standard</vt:lpwstr>
  </property>
  <property fmtid="{D5CDD505-2E9C-101B-9397-08002B2CF9AE}" pid="5" name="MSIP_Label_2b3a104e-2916-42dc-a2f6-6210338509ed_Name">
    <vt:lpwstr>2b3a104e-2916-42dc-a2f6-6210338509ed</vt:lpwstr>
  </property>
  <property fmtid="{D5CDD505-2E9C-101B-9397-08002B2CF9AE}" pid="6" name="MSIP_Label_2b3a104e-2916-42dc-a2f6-6210338509ed_SiteId">
    <vt:lpwstr>e70aafb3-2e89-46a5-ba50-66803e8a4411</vt:lpwstr>
  </property>
  <property fmtid="{D5CDD505-2E9C-101B-9397-08002B2CF9AE}" pid="7" name="MSIP_Label_2b3a104e-2916-42dc-a2f6-6210338509ed_ActionId">
    <vt:lpwstr>87e722f6-8a85-4d74-9307-d8e67f666506</vt:lpwstr>
  </property>
  <property fmtid="{D5CDD505-2E9C-101B-9397-08002B2CF9AE}" pid="8" name="MSIP_Label_2b3a104e-2916-42dc-a2f6-6210338509ed_ContentBits">
    <vt:lpwstr>1</vt:lpwstr>
  </property>
</Properties>
</file>