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ptos" w:cs="Aptos" w:eastAsia="Aptos" w:hAnsi="Aptos"/>
        </w:rPr>
      </w:pPr>
      <w:bookmarkStart w:colFirst="0" w:colLast="0" w:name="_heading=h.leu1lzfrlrg4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4448</wp:posOffset>
            </wp:positionH>
            <wp:positionV relativeFrom="paragraph">
              <wp:posOffset>3</wp:posOffset>
            </wp:positionV>
            <wp:extent cx="1616710" cy="377825"/>
            <wp:effectExtent b="0" l="0" r="0" t="0"/>
            <wp:wrapSquare wrapText="bothSides" distB="114300" distT="114300" distL="114300" distR="114300"/>
            <wp:docPr id="66441149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377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TISKOVÁ ZPRÁVA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Analýza: V pilíři Zdraví a bezpečnost je Česko nejlepší v EU. Silná kyberochrana ale kontrastuje s nižšími investicemi do obrany</w:t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Praha, 10. prosince</w:t>
      </w:r>
      <w:r w:rsidDel="00000000" w:rsidR="00000000" w:rsidRPr="00000000">
        <w:rPr>
          <w:b w:val="1"/>
          <w:bCs w:val="1"/>
          <w:rtl w:val="0"/>
        </w:rPr>
        <w:t xml:space="preserve"> – Česko znovu zvítězilo v pilíři Zdraví a bezpečnost Indexu prosperity a finančního zdraví, zejména díky silné kyberbezpečnosti a dostupné zdravotní péči. Navzdory celkovému prvenství je na tom Česká republika hůře v kritériu výdaje na obranu. Podle nejnovějších dat jsme v porovnání s jinými státy EU skončili až na 16. místě. </w:t>
      </w:r>
      <w:r w:rsidDel="00000000" w:rsidR="00000000" w:rsidRPr="00000000">
        <w:rPr>
          <w:b w:val="1"/>
          <w:bCs w:val="1"/>
          <w:rtl w:val="0"/>
        </w:rPr>
        <w:t xml:space="preserve">To by se ale i vzhledem k nově stanoveným závazkům NATO mělo do budoucna změnit. </w:t>
      </w:r>
      <w:r w:rsidDel="00000000" w:rsidR="00000000" w:rsidRPr="00000000">
        <w:rPr>
          <w:b w:val="1"/>
          <w:bCs w:val="1"/>
          <w:rtl w:val="0"/>
        </w:rPr>
        <w:t xml:space="preserve">O tom, jak zásadní je investice do obrany, svědčí i překvapivé druhé místo Polska, které se v žebříčku prudce posunulo právě po výrazném navýšení výdajů v této oblasti.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Česko se podruhé umístilo na prvním místě v pilíři Zdraví a bezpečnost Indexu prosperity a finančního zdraví, který sestavuje Evropa v datech a Česká spořitelna. Stejně jako v předešlém roce se mezi silné stránky Česka řadí velmi silná kyberbezpečnost a dostupná lékařská péče. Posun zaznamenalo Polsko, které od minulého ročníku poskočilo ze čtvrté pozice na druhou příčku.</w:t>
      </w:r>
    </w:p>
    <w:p w:rsidR="00000000" w:rsidDel="00000000" w:rsidP="00000000" w:rsidRDefault="00000000" w:rsidRPr="00000000" w14:paraId="00000007">
      <w:pPr>
        <w:jc w:val="both"/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Interaktivní infografiku k Rozvoji zdraví a bezpečnosti naleznete na tomto odkazu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668352" cy="2802600"/>
            <wp:effectExtent b="0" l="0" r="0" t="0"/>
            <wp:docPr descr="Obrázok, na ktorom je text, snímka obrazovky, diagram, mapa&#10;&#10;Obsah vygenerovaný pomocou AI môže byť nesprávny." id="664411495" name="image3.png"/>
            <a:graphic>
              <a:graphicData uri="http://schemas.openxmlformats.org/drawingml/2006/picture">
                <pic:pic>
                  <pic:nvPicPr>
                    <pic:cNvPr descr="Obrázok, na ktorom je text, snímka obrazovky, diagram, mapa&#10;&#10;Obsah vygenerovaný pomocou AI môže byť nesprávny.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8352" cy="28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Na druhém konci žebříčku se objevilo Nizozemsko, Irsko a Lucembursko. I dalším státům na západě či severu Evropy, které v jiných pilířích Indexu dominují, se nevedlo nejlépe – škodí jim především horší dostupnost lékařské péče, vyšší kriminalita nebo nižší kapacity nemocničních lůžek.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Odborník varuje: současný stav českého zdravotnictví je dlouhodobě neudržitelný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Od minulého roku můžeme pro Česko pozorovat posun o dvě příčky v dostupnosti lékařské péče. Ta je nedostupná pouze pro 0,5 % obyvatel. Zároveň je Česko státem s 13. nejvyššími výdaji na lékařskou péči. </w:t>
      </w:r>
      <w:r w:rsidDel="00000000" w:rsidR="00000000" w:rsidRPr="00000000">
        <w:rPr>
          <w:i w:val="1"/>
          <w:iCs w:val="1"/>
          <w:rtl w:val="0"/>
        </w:rPr>
        <w:t xml:space="preserve">„Nutno však podotknout, že vyšší výdaje na lékařskou péči neznamenají automaticky vyšší dostupnost. Kupříkladu Německo, které do  zdravotnictví investuje z celé Evropské unie největší podíl HDP, se v dostupnosti řadí až za Česko,“ </w:t>
      </w:r>
      <w:r w:rsidDel="00000000" w:rsidR="00000000" w:rsidRPr="00000000">
        <w:rPr>
          <w:rtl w:val="0"/>
        </w:rPr>
        <w:t xml:space="preserve">vysvětluje datová analytička Evropy v datech, Alexandra Cholevová. </w:t>
      </w:r>
    </w:p>
    <w:p w:rsidR="00000000" w:rsidDel="00000000" w:rsidP="00000000" w:rsidRDefault="00000000" w:rsidRPr="00000000" w14:paraId="0000000C">
      <w:pPr>
        <w:jc w:val="both"/>
        <w:rPr/>
      </w:pP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Interaktivní infografiku k pořadí Rozvoje zdraví a bezpečnosti naleznete na tomto odkazu.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color w:val="222222"/>
          <w:highlight w:val="white"/>
        </w:rPr>
      </w:pPr>
      <w:r w:rsidDel="00000000" w:rsidR="00000000" w:rsidRPr="00000000">
        <w:rPr>
          <w:i w:val="1"/>
          <w:iCs w:val="1"/>
          <w:rtl w:val="0"/>
        </w:rPr>
        <w:t xml:space="preserve">„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V zemích jako je Německo, Rakousko nebo Švédsko velkou část nákladů tvoří vyšší mzdy zdravotníků, dražší provoz nemocnic a širší spektrum nákladných technologií. Jejich systémy jsou také víc specializované a často platí přísnější pravidla, že se k odborníkovi dostanete opravdu jen přes praktika,“</w:t>
      </w:r>
      <w:r w:rsidDel="00000000" w:rsidR="00000000" w:rsidRPr="00000000">
        <w:rPr>
          <w:color w:val="222222"/>
          <w:highlight w:val="white"/>
          <w:rtl w:val="0"/>
        </w:rPr>
        <w:t xml:space="preserve"> podotýká Petr Smejkal, hlavní epidemiolog IKEM a člen Správní rady think tanku Ministr zdraví, který zároveň varuje, že momentální nastavení českého zdravotnictví je dlouhodobě neudržitelné zejména kvůli přetížení zdravotníků, odkládání investic a systému, v kterém náklady rostou rychleji než ekonomika.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S tím souhlasí i analytička České spořitelny Tereza Hrtúsová a doplňuje, že by cestou k efektivnějšímu zdravotnictví mohla být i digitalizace: „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Pacienti a zejména lékaři by měli mít přístup ke kompletní anamnéze a výsledkům jednotlivých specializovaných vyšetření. Pomohlo by nám to ulevit plným kapacitám v rámci screeningů, které pacienti podstupují často duplicitně.”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Prevence jako cesta k dlouhověkosti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Dobrému umístění v pilíři ale nejde naproti umístění ve statistice „naděje na dožití ve zdraví“. Česko se v ukazateli propadlo z 13. na 15. místo, přestože samotná hranice let prožitých ve zdraví vzrostla nepatrně z 61,8 na 62 let. Trend je ale nadále nepříznivý – Češi tráví zbytečně velkou část života v nemoci. Podle Smejkala je nutné posílit prevenci a zaměřit se na choroby, kterým lze předcházet (zejména srdeční onemocnění, obezitu, cukrovku a dopady nadměrné konzumace alkoholu), zároveň stabilizovat financování zdravotnictví a rozvíjet digitalizaci, která může zvýšit efektivitu systému.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Efektivní cestou k prevenci může být i zapojení zaměstnavatelů.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„V</w:t>
      </w:r>
      <w:r w:rsidDel="00000000" w:rsidR="00000000" w:rsidRPr="00000000">
        <w:rPr>
          <w:i w:val="1"/>
          <w:iCs w:val="1"/>
          <w:rtl w:val="0"/>
        </w:rPr>
        <w:t xml:space="preserve"> rámci firemních programů absolvovalo v posledních 2 letech kompletní preventivní prohlídku 100 % našich zaměstnanců registrovaných ve firemní ordinaci praktického lékaře (vs. 60 % v běžné populaci). Aby se tento úspěch rozšířil i do dalších firem, je nutná podpora ze strany státu, například formou daňového zvýhodnění těchto programů,”</w:t>
      </w:r>
      <w:r w:rsidDel="00000000" w:rsidR="00000000" w:rsidRPr="00000000">
        <w:rPr>
          <w:rtl w:val="0"/>
        </w:rPr>
        <w:t xml:space="preserve"> dodává Pavla Mendlová, manažerka zdraví v České spořitelně.</w:t>
      </w:r>
    </w:p>
    <w:p w:rsidR="00000000" w:rsidDel="00000000" w:rsidP="00000000" w:rsidRDefault="00000000" w:rsidRPr="00000000" w14:paraId="00000012">
      <w:pPr>
        <w:jc w:val="both"/>
        <w:rPr>
          <w:color w:val="222222"/>
          <w:highlight w:val="white"/>
        </w:rPr>
      </w:pPr>
      <w:hyperlink r:id="rId11">
        <w:r w:rsidDel="00000000" w:rsidR="00000000" w:rsidRPr="00000000">
          <w:rPr>
            <w:color w:val="0563c1"/>
            <w:highlight w:val="white"/>
            <w:u w:val="single"/>
            <w:rtl w:val="0"/>
          </w:rPr>
          <w:t xml:space="preserve">Interaktivní infografiku k hodnotám Rozvoje zdraví a bezpečnosti naleznete na tomto odkazu.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Ochranu kyberprostoru zvládá Česko nejlépe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Dostupná zdravotní péče není jedinou oblastí, kde se Česku velmi daří. </w:t>
      </w:r>
      <w:r w:rsidDel="00000000" w:rsidR="00000000" w:rsidRPr="00000000">
        <w:rPr>
          <w:rtl w:val="0"/>
        </w:rPr>
        <w:t xml:space="preserve">Podle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National Cyber Security Indexu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dominuje Česko ve srovnání s ostatními zeměmi v připravenosti proti kybernetickým hrozbám, ať už se jedná o vzdělávání, výzkum nebo vývoj a boj proti kyberzločinu. Přestože v kybernetické odolnosti Česko dominuje, potýká se v posledních letech s vysokým počtem útoků na jednotlivce. </w:t>
      </w:r>
      <w:r w:rsidDel="00000000" w:rsidR="00000000" w:rsidRPr="00000000">
        <w:rPr>
          <w:rtl w:val="0"/>
        </w:rPr>
        <w:t xml:space="preserve">Podle dat České bankovní asociace jen za první 3 čtvrtletí tohoto roku čelili klienti bank více než 68 tisícům kyberútoků, přičemž se útočníkům podařilo z klientů vylákat 1,49 miliardy korun. Na druhé straně se bankám podařilo před kyberzločinci zachránit okolo 7,5 miliardy korun.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S tímto problémem se potýkají i finanční instituce. </w:t>
      </w:r>
      <w:r w:rsidDel="00000000" w:rsidR="00000000" w:rsidRPr="00000000">
        <w:rPr>
          <w:i w:val="1"/>
          <w:iCs w:val="1"/>
          <w:rtl w:val="0"/>
        </w:rPr>
        <w:t xml:space="preserve">„Podvodníci stále více používají propracovanější metody, využívají AI nástroje (deep fake videa) a spoléhají na lidskou důvěřivost. Dokonale napodobují procesy a komunikaci legitimních institucí, což klientům výrazně ztěžuje rozpoznání podvodu. V pokročilé fázi manipulace často klienti ignorují i přímá varování ze strany banky a trvají na provedení rizikové transakce. V poslední době navíc manipulací donutí klienty vybrat peníze v hotovosti a předat ji osobně falešnému kurýrovi,”</w:t>
      </w:r>
      <w:r w:rsidDel="00000000" w:rsidR="00000000" w:rsidRPr="00000000">
        <w:rPr>
          <w:rtl w:val="0"/>
        </w:rPr>
        <w:t xml:space="preserve"> říká Teo Filip, manažer pro kyberbezpečnost České spořitelny.</w:t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Silná kyberbezpečnost slabou armádu nevykoupí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V čem však Česko pokulhává, a jedná se o jeho nejslabší indikátor, jsou výdaje na obranu. Přestože si Česko v eurounijním pořadí polepšilo ve výdajích na obranu o dvě příčky, stále se podle nejnovějších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dat Eurostatu</w:t>
        </w:r>
      </w:hyperlink>
      <w:r w:rsidDel="00000000" w:rsidR="00000000" w:rsidRPr="00000000">
        <w:rPr>
          <w:rtl w:val="0"/>
        </w:rPr>
        <w:t xml:space="preserve"> z roku 2023</w:t>
      </w:r>
      <w:r w:rsidDel="00000000" w:rsidR="00000000" w:rsidRPr="00000000">
        <w:rPr>
          <w:rtl w:val="0"/>
        </w:rPr>
        <w:t xml:space="preserve"> řadí do druhé poloviny, konkrétně na 16. místo v rámci Unie</w:t>
      </w:r>
      <w:r w:rsidDel="00000000" w:rsidR="00000000" w:rsidRPr="00000000">
        <w:rPr>
          <w:rtl w:val="0"/>
        </w:rPr>
        <w:t xml:space="preserve">. Do budoucna by ale výdaje států EU, i vzhledem k závazkům vůči NATO, měly růst. Již začátkem tohoto roku Ministerstvo obrany deklarovalo, že na obranu vydalo 2 % HDP a do roku 2035 jsme se zavázali, že vydáme na obranu 5 % HDP.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„Musíme pokračovat v dalším posilování kybernetické bezpečnosti a dát expertům právní i technické nástroje k jejímu zajišťování. Stejně tak je nutné pokračovat v budování armády a v investicích do obrany, protože v téhle oblasti máme obrovské dluhy,“</w:t>
      </w:r>
      <w:r w:rsidDel="00000000" w:rsidR="00000000" w:rsidRPr="00000000">
        <w:rPr>
          <w:rtl w:val="0"/>
        </w:rPr>
        <w:t xml:space="preserve"> říká analytik Jiří Táborský z Ústavu empirických výzkumů STEM. 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Více o Indexu prosperity a finančního zdraví na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Indexprosperity.cz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Kontakt pro média: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Adéla Veselá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/>
      </w:pPr>
      <w:r w:rsidDel="00000000" w:rsidR="00000000" w:rsidRPr="00000000">
        <w:rPr>
          <w:color w:val="0563c1"/>
          <w:u w:val="single"/>
          <w:rtl w:val="0"/>
        </w:rPr>
        <w:t xml:space="preserve">adela.vesela@dfmg.cz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Tel.: +420 722 193 819</w:t>
      </w:r>
    </w:p>
    <w:sectPr>
      <w:footerReference r:id="rId15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-438146</wp:posOffset>
          </wp:positionH>
          <wp:positionV relativeFrom="paragraph">
            <wp:posOffset>514984</wp:posOffset>
          </wp:positionV>
          <wp:extent cx="7509510" cy="132080"/>
          <wp:effectExtent b="0" l="0" r="0" t="0"/>
          <wp:wrapTopAndBottom distB="0" distT="0"/>
          <wp:docPr id="6644114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0094" r="19202" t="0"/>
                  <a:stretch>
                    <a:fillRect/>
                  </a:stretch>
                </pic:blipFill>
                <pic:spPr>
                  <a:xfrm>
                    <a:off x="0" y="0"/>
                    <a:ext cx="7509510" cy="1320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textovodkaz">
    <w:name w:val="Hyperlink"/>
    <w:basedOn w:val="Standardnpsmoodstavce"/>
    <w:uiPriority w:val="99"/>
    <w:unhideWhenUsed w:val="1"/>
    <w:rsid w:val="00B55E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55E49"/>
    <w:rPr>
      <w:color w:val="605e5c"/>
      <w:shd w:color="auto" w:fill="e1dfdd" w:val="clear"/>
    </w:rPr>
  </w:style>
  <w:style w:type="paragraph" w:styleId="Revize">
    <w:name w:val="Revision"/>
    <w:hidden w:val="1"/>
    <w:uiPriority w:val="99"/>
    <w:semiHidden w:val="1"/>
    <w:rsid w:val="009F0141"/>
    <w:pPr>
      <w:spacing w:after="0" w:line="240" w:lineRule="auto"/>
    </w:pPr>
  </w:style>
  <w:style w:type="paragraph" w:styleId="Textkomente">
    <w:name w:val="annotation text"/>
    <w:link w:val="TextkomenteChar"/>
    <w:uiPriority w:val="99"/>
    <w:semiHidden w:val="1"/>
    <w:unhideWhenUsed w:val="1"/>
    <w:rsid w:val="00644388"/>
    <w:pPr>
      <w:spacing w:after="0" w:line="240" w:lineRule="auto"/>
    </w:pPr>
    <w:rPr>
      <w:rFonts w:ascii="Arial" w:cs="Arial" w:eastAsia="Arial" w:hAnsi="Arial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644388"/>
    <w:rPr>
      <w:rFonts w:ascii="Arial" w:cs="Arial" w:eastAsia="Arial" w:hAnsi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644388"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644388"/>
    <w:rPr>
      <w:color w:val="954f72" w:themeColor="followedHyperlink"/>
      <w:u w:val="single"/>
    </w:rPr>
  </w:style>
  <w:style w:type="paragraph" w:styleId="Zhlav">
    <w:name w:val="header"/>
    <w:link w:val="ZhlavChar"/>
    <w:uiPriority w:val="99"/>
    <w:unhideWhenUsed w:val="1"/>
    <w:rsid w:val="00887D3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87D33"/>
  </w:style>
  <w:style w:type="paragraph" w:styleId="Zpat">
    <w:name w:val="footer"/>
    <w:link w:val="ZpatChar"/>
    <w:uiPriority w:val="99"/>
    <w:unhideWhenUsed w:val="1"/>
    <w:rsid w:val="00887D3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87D33"/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1E1D4E"/>
    <w:pPr>
      <w:spacing w:after="160"/>
    </w:pPr>
    <w:rPr>
      <w:rFonts w:ascii="Calibri" w:cs="Calibri" w:eastAsia="Calibri" w:hAnsi="Calibri"/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1E1D4E"/>
    <w:rPr>
      <w:rFonts w:ascii="Arial" w:cs="Arial" w:eastAsia="Arial" w:hAnsi="Arial"/>
      <w:b w:val="1"/>
      <w:bCs w:val="1"/>
      <w:sz w:val="20"/>
      <w:szCs w:val="20"/>
    </w:rPr>
  </w:style>
  <w:style w:type="paragraph" w:styleId="Normlnweb">
    <w:name w:val="Normal (Web)"/>
    <w:uiPriority w:val="99"/>
    <w:unhideWhenUsed w:val="1"/>
    <w:rsid w:val="00A44B3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cs-CZ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ublic.tableau.com/app/profile/dark.side/viz/shared/Y46D9MWKS" TargetMode="External"/><Relationship Id="rId10" Type="http://schemas.openxmlformats.org/officeDocument/2006/relationships/hyperlink" Target="https://public.tableau.com/app/profile/dark.side/viz/shared/H9R5S3GR5" TargetMode="External"/><Relationship Id="rId13" Type="http://schemas.openxmlformats.org/officeDocument/2006/relationships/hyperlink" Target="https://ec.europa.eu/eurostat/databrowser/view/GOV_10A_EXP/bookmark/table?lang=en&amp;bookmarkId=74e19976-d84e-430e-82cf-114de9c6df94" TargetMode="External"/><Relationship Id="rId12" Type="http://schemas.openxmlformats.org/officeDocument/2006/relationships/hyperlink" Target="https://ncsi.ega.ee/country/cz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hyperlink" Target="http://www.indexprosperity.c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public.tableau.com/app/profile/dark.side/viz/shared/22HT2G5SF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VrFcgmlwDJ39bLA4CgUD6IOlQ==">CgMxLjAyDmgubGV1MWx6ZnJscmc0OABqJwoUc3VnZ2VzdC45b2I2Y2lvN2E5ZG0SD0x1a8OhxaEgS3JvcMOta2onChRzdWdnZXN0LmQycXR5bHAxMW91aBIPTHVrw6HFoSBLcm9ww61raiYKE3N1Z2dlc3Qudjd3bHZxb3d3NHMSD0x1a8OhxaEgS3JvcMOta2onChRzdWdnZXN0LjM4dndqYjFqNjk0dRIPTHVrw6HFoSBLcm9ww61raicKFHN1Z2dlc3QucDVmZ3JzZ3M4bjczEg9MdWvDocWhIEtyb3DDrWtqJwoUc3VnZ2VzdC5zYWE0ZThuazhqeXgSD0x1a8OhxaEgS3JvcMOta3IhMXFUb0o1cXg0cVRkOW1zRmhIMG5RTnhsRTUza21DRz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2025-12-05T10:41:00Z</dcterms:created>
  <dc:creator>Jana Bakešová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etDate">
    <vt:lpwstr>2022-06-13T07:50:24Z</vt:lpwstr>
  </property>
  <property fmtid="{D5CDD505-2E9C-101B-9397-08002B2CF9AE}" pid="4" name="MSIP_Label_2b3a104e-2916-42dc-a2f6-6210338509ed_Method">
    <vt:lpwstr>Standard</vt:lpwstr>
  </property>
  <property fmtid="{D5CDD505-2E9C-101B-9397-08002B2CF9AE}" pid="5" name="MSIP_Label_2b3a104e-2916-42dc-a2f6-6210338509ed_Name">
    <vt:lpwstr>2b3a104e-2916-42dc-a2f6-6210338509ed</vt:lpwstr>
  </property>
  <property fmtid="{D5CDD505-2E9C-101B-9397-08002B2CF9AE}" pid="6" name="MSIP_Label_2b3a104e-2916-42dc-a2f6-6210338509ed_SiteId">
    <vt:lpwstr>e70aafb3-2e89-46a5-ba50-66803e8a4411</vt:lpwstr>
  </property>
  <property fmtid="{D5CDD505-2E9C-101B-9397-08002B2CF9AE}" pid="7" name="MSIP_Label_2b3a104e-2916-42dc-a2f6-6210338509ed_ActionId">
    <vt:lpwstr>87e722f6-8a85-4d74-9307-d8e67f666506</vt:lpwstr>
  </property>
  <property fmtid="{D5CDD505-2E9C-101B-9397-08002B2CF9AE}" pid="8" name="MSIP_Label_2b3a104e-2916-42dc-a2f6-6210338509ed_ContentBits">
    <vt:lpwstr>1</vt:lpwstr>
  </property>
</Properties>
</file>